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74048" w14:textId="77777777" w:rsidR="00B03C58" w:rsidRPr="00AB6681" w:rsidRDefault="00B03C58" w:rsidP="00B03C58">
      <w:pPr>
        <w:pStyle w:val="Cytatintensywny"/>
        <w:rPr>
          <w:sz w:val="22"/>
        </w:rPr>
      </w:pPr>
      <w:r w:rsidRPr="00AB6681">
        <w:rPr>
          <w:b/>
          <w:sz w:val="22"/>
        </w:rPr>
        <w:t>Pomoc wywozowa</w:t>
      </w:r>
      <w:r w:rsidRPr="00AB6681">
        <w:rPr>
          <w:sz w:val="22"/>
        </w:rPr>
        <w:t xml:space="preserve"> – niedozwolone wsparcie działalności eksportowej</w:t>
      </w:r>
    </w:p>
    <w:p w14:paraId="2BA42C51" w14:textId="5CEC7CE7" w:rsidR="00B03C58" w:rsidRDefault="00B03C58" w:rsidP="00B06EFD">
      <w:pPr>
        <w:spacing w:after="240" w:line="360" w:lineRule="auto"/>
        <w:jc w:val="both"/>
        <w:rPr>
          <w:sz w:val="22"/>
        </w:rPr>
      </w:pPr>
      <w:r>
        <w:rPr>
          <w:sz w:val="22"/>
        </w:rPr>
        <w:t>Wsparcie w działaniu 1.2 przyznawane jest zgodnie z zasadami określonymi w</w:t>
      </w:r>
      <w:r w:rsidR="00696DC3">
        <w:rPr>
          <w:sz w:val="22"/>
        </w:rPr>
        <w:t>:</w:t>
      </w:r>
      <w:r>
        <w:rPr>
          <w:sz w:val="22"/>
        </w:rPr>
        <w:t xml:space="preserve"> </w:t>
      </w:r>
      <w:r w:rsidR="00696DC3">
        <w:rPr>
          <w:sz w:val="22"/>
        </w:rPr>
        <w:t>1.</w:t>
      </w:r>
      <w:r w:rsidRPr="00AB6681">
        <w:rPr>
          <w:b/>
          <w:sz w:val="22"/>
        </w:rPr>
        <w:t>rozporządzeniu Komisji (UE) nr 1407/2013</w:t>
      </w:r>
      <w:r w:rsidRPr="005C0099">
        <w:rPr>
          <w:sz w:val="22"/>
        </w:rPr>
        <w:t xml:space="preserve"> z dnia 18 grudnia 2013 r. w sprawie stosowania art. 107 i 108 Traktatu o funkcjonowaniu Unii Europejskiej do pomocy </w:t>
      </w:r>
      <w:r w:rsidRPr="005C0099">
        <w:rPr>
          <w:i/>
          <w:sz w:val="22"/>
        </w:rPr>
        <w:t>de minimis</w:t>
      </w:r>
      <w:r w:rsidRPr="005C0099">
        <w:rPr>
          <w:sz w:val="22"/>
        </w:rPr>
        <w:t xml:space="preserve"> (Dz. Urz. UE L 352 z 24.12.2013, str. 1)</w:t>
      </w:r>
      <w:r w:rsidR="009571F4">
        <w:rPr>
          <w:sz w:val="22"/>
        </w:rPr>
        <w:t xml:space="preserve"> </w:t>
      </w:r>
      <w:r w:rsidR="009571F4" w:rsidRPr="00B06EFD">
        <w:rPr>
          <w:sz w:val="22"/>
        </w:rPr>
        <w:t xml:space="preserve">oraz </w:t>
      </w:r>
      <w:r w:rsidR="009571F4" w:rsidRPr="00B06EFD">
        <w:rPr>
          <w:b/>
          <w:sz w:val="22"/>
        </w:rPr>
        <w:t xml:space="preserve">rozporządzeniu Komisji (UE) nr 651/2014 </w:t>
      </w:r>
      <w:r w:rsidR="009571F4" w:rsidRPr="00B06EFD">
        <w:rPr>
          <w:sz w:val="22"/>
        </w:rPr>
        <w:t>z dnia 17 czerwca 2014 r. uznające niektóre rodzaje pomocy za zgodne z rynkiem wewnętrznym w zastosowaniu art. 107 i 108 Traktatu (Dz. Urz. UE L 187/1 z 26.06.2014, str.28)</w:t>
      </w:r>
      <w:r w:rsidRPr="00B06EFD">
        <w:rPr>
          <w:sz w:val="22"/>
        </w:rPr>
        <w:t xml:space="preserve">. Art. 1 </w:t>
      </w:r>
      <w:r w:rsidR="00613B28" w:rsidRPr="00B06EFD">
        <w:rPr>
          <w:sz w:val="22"/>
        </w:rPr>
        <w:t>obu rozporządzeń</w:t>
      </w:r>
      <w:r w:rsidRPr="00B06EFD">
        <w:rPr>
          <w:sz w:val="22"/>
        </w:rPr>
        <w:t xml:space="preserve"> </w:t>
      </w:r>
      <w:r w:rsidRPr="00B06EFD">
        <w:rPr>
          <w:b/>
          <w:sz w:val="22"/>
        </w:rPr>
        <w:t>wyłącza możliwość udzielania pomoc</w:t>
      </w:r>
      <w:r w:rsidRPr="00E10B1B">
        <w:rPr>
          <w:b/>
          <w:sz w:val="22"/>
        </w:rPr>
        <w:t>y</w:t>
      </w:r>
      <w:r w:rsidRPr="005C0099">
        <w:rPr>
          <w:sz w:val="22"/>
        </w:rPr>
        <w:t xml:space="preserve"> przyznawanej na działalność związaną z wywozem do państw trzecich lub państw członkowskich, tzn. pomocy </w:t>
      </w:r>
      <w:r w:rsidRPr="00E10B1B">
        <w:rPr>
          <w:b/>
          <w:sz w:val="22"/>
        </w:rPr>
        <w:t>bezpośrednio związanej z ilością wywożonych produktów, tworzeniem i prowadzeniem sieci dystrybucyjnej</w:t>
      </w:r>
      <w:r w:rsidRPr="005C0099">
        <w:rPr>
          <w:sz w:val="22"/>
        </w:rPr>
        <w:t xml:space="preserve"> lub innymi </w:t>
      </w:r>
      <w:r w:rsidRPr="00E10B1B">
        <w:rPr>
          <w:b/>
          <w:sz w:val="22"/>
        </w:rPr>
        <w:t>wydatkami bieżącymi związanymi z prowadzeniem działalności wywozowej</w:t>
      </w:r>
      <w:r>
        <w:rPr>
          <w:sz w:val="22"/>
        </w:rPr>
        <w:t xml:space="preserve"> (nazywanej dalej pomocą wywozową albo pomocą eksportową).</w:t>
      </w:r>
    </w:p>
    <w:p w14:paraId="052E467A" w14:textId="76B4087D" w:rsidR="00B03C58" w:rsidRDefault="00B03C58" w:rsidP="00B03C5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Rozporządzenie </w:t>
      </w:r>
      <w:r w:rsidRPr="00AB6681">
        <w:rPr>
          <w:sz w:val="22"/>
        </w:rPr>
        <w:t>Komisji (UE) nr 1407/2013</w:t>
      </w:r>
      <w:r>
        <w:rPr>
          <w:sz w:val="22"/>
        </w:rPr>
        <w:t xml:space="preserve"> </w:t>
      </w:r>
      <w:r w:rsidR="00342EF5">
        <w:rPr>
          <w:sz w:val="22"/>
        </w:rPr>
        <w:t>wskazuje również</w:t>
      </w:r>
      <w:r>
        <w:rPr>
          <w:sz w:val="22"/>
        </w:rPr>
        <w:t>, że p</w:t>
      </w:r>
      <w:r w:rsidRPr="00C41974">
        <w:rPr>
          <w:sz w:val="22"/>
        </w:rPr>
        <w:t xml:space="preserve">omoc na </w:t>
      </w:r>
      <w:r w:rsidRPr="00E10B1B">
        <w:rPr>
          <w:b/>
          <w:sz w:val="22"/>
        </w:rPr>
        <w:t>pokrycie kosztów uczestnictwa w targach handlowych bądź kosztów badań lub usług doradczych potrzebnych do wprowadzenia nowego lub już istniejącego produktu na nowy rynek</w:t>
      </w:r>
      <w:r w:rsidRPr="00C41974">
        <w:rPr>
          <w:sz w:val="22"/>
        </w:rPr>
        <w:t xml:space="preserve"> w innym państwie członkowskim lub w państwie trzecim </w:t>
      </w:r>
      <w:r w:rsidRPr="00AB6681">
        <w:rPr>
          <w:b/>
          <w:sz w:val="22"/>
          <w:u w:val="single"/>
        </w:rPr>
        <w:t>zwykle</w:t>
      </w:r>
      <w:r w:rsidRPr="00E10B1B">
        <w:rPr>
          <w:b/>
          <w:sz w:val="22"/>
        </w:rPr>
        <w:t xml:space="preserve"> nie stanowi pomocy wywozowej</w:t>
      </w:r>
      <w:r w:rsidRPr="00C41974">
        <w:rPr>
          <w:sz w:val="22"/>
        </w:rPr>
        <w:t>.</w:t>
      </w:r>
    </w:p>
    <w:p w14:paraId="01222646" w14:textId="73B691A0" w:rsidR="00B03C58" w:rsidRPr="00AB6681" w:rsidRDefault="00B03C58" w:rsidP="00D6012A">
      <w:pPr>
        <w:autoSpaceDE w:val="0"/>
        <w:autoSpaceDN w:val="0"/>
        <w:adjustRightInd w:val="0"/>
        <w:spacing w:before="120" w:after="120"/>
        <w:jc w:val="both"/>
        <w:rPr>
          <w:b/>
          <w:sz w:val="22"/>
          <w:u w:val="single"/>
        </w:rPr>
      </w:pPr>
      <w:r w:rsidRPr="00AB6681">
        <w:rPr>
          <w:b/>
          <w:sz w:val="22"/>
          <w:u w:val="single"/>
        </w:rPr>
        <w:t xml:space="preserve"> Kazusy i interpretacje Komisji Europejskiej:</w:t>
      </w:r>
    </w:p>
    <w:p w14:paraId="1622EAFA" w14:textId="77777777" w:rsidR="00B03C58" w:rsidRDefault="00B03C58" w:rsidP="00B03C58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6E3E4B">
        <w:rPr>
          <w:b/>
          <w:sz w:val="22"/>
        </w:rPr>
        <w:t>decyzja z dnia 19 maja 2004 r. w sprawie pomocy państwa nr C 4/2003 (ex NN 102/2002) przyznanej przez Włochy WAM S.p.A.</w:t>
      </w:r>
      <w:r w:rsidRPr="006E3E4B">
        <w:rPr>
          <w:rStyle w:val="Odwoanieprzypisudolnego"/>
          <w:b/>
          <w:sz w:val="22"/>
        </w:rPr>
        <w:footnoteReference w:id="1"/>
      </w:r>
      <w:r w:rsidRPr="006E3E4B">
        <w:rPr>
          <w:sz w:val="22"/>
        </w:rPr>
        <w:t>:</w:t>
      </w:r>
    </w:p>
    <w:p w14:paraId="549D3E5B" w14:textId="77777777" w:rsidR="00B03C58" w:rsidRPr="006E3E4B" w:rsidRDefault="00B03C58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6E3E4B">
        <w:rPr>
          <w:b/>
          <w:sz w:val="22"/>
        </w:rPr>
        <w:t>koszty</w:t>
      </w:r>
      <w:r w:rsidRPr="006E3E4B">
        <w:rPr>
          <w:sz w:val="22"/>
        </w:rPr>
        <w:t xml:space="preserve"> takie jak czynsz, ubezpieczenie i media oraz koszty eksploatacji (czyli personelu, mebli i wyposażenia) </w:t>
      </w:r>
      <w:r w:rsidRPr="006E3E4B">
        <w:rPr>
          <w:b/>
          <w:sz w:val="22"/>
        </w:rPr>
        <w:t>dotyczące stałych siedzib zagranicznych</w:t>
      </w:r>
      <w:r w:rsidRPr="006E3E4B">
        <w:rPr>
          <w:sz w:val="22"/>
        </w:rPr>
        <w:t xml:space="preserve"> mogą być zaliczone do </w:t>
      </w:r>
      <w:r w:rsidRPr="006E3E4B">
        <w:rPr>
          <w:b/>
          <w:sz w:val="22"/>
        </w:rPr>
        <w:t>pomocy na ustanowienie i obsługę sieci dystrybucji</w:t>
      </w:r>
      <w:r w:rsidRPr="006E3E4B">
        <w:rPr>
          <w:sz w:val="22"/>
        </w:rPr>
        <w:t xml:space="preserve"> (pkt 41 ww. decyzji), </w:t>
      </w:r>
    </w:p>
    <w:p w14:paraId="2F6DFD9E" w14:textId="77777777" w:rsidR="00B03C58" w:rsidRDefault="00B03C58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6E3E4B">
        <w:rPr>
          <w:b/>
          <w:sz w:val="22"/>
        </w:rPr>
        <w:t>koszty usług doradczych związanych ze stałymi przedstawicielstwami zagranicznymi, reklamą i podróżami personelu i przedsiębiorcy stanowią bieżące wydatki związane z działalnością wywozową</w:t>
      </w:r>
      <w:r>
        <w:rPr>
          <w:sz w:val="22"/>
        </w:rPr>
        <w:t xml:space="preserve"> (pkt 42 ww. decyzji);</w:t>
      </w:r>
    </w:p>
    <w:p w14:paraId="29A75C62" w14:textId="77777777" w:rsidR="00B03C58" w:rsidRPr="002E4E57" w:rsidRDefault="00B03C58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852D53">
        <w:rPr>
          <w:b/>
          <w:sz w:val="22"/>
        </w:rPr>
        <w:t xml:space="preserve">koszty składowania towarów oraz koszty podróży klientów zagranicznych do Włoch </w:t>
      </w:r>
      <w:r>
        <w:rPr>
          <w:sz w:val="22"/>
        </w:rPr>
        <w:t xml:space="preserve">również należy zaliczyć do </w:t>
      </w:r>
      <w:r w:rsidRPr="002E4E57">
        <w:rPr>
          <w:sz w:val="22"/>
        </w:rPr>
        <w:t xml:space="preserve">wydatków powiązanych z wdrożeniem i działaniem sieci dystrybucji, bądź do bieżących wydatków związanych </w:t>
      </w:r>
      <w:r>
        <w:rPr>
          <w:sz w:val="22"/>
        </w:rPr>
        <w:t>z działalnością wywozową (pkt 104 ww. decyzji).</w:t>
      </w:r>
      <w:r w:rsidRPr="002E4E57">
        <w:rPr>
          <w:sz w:val="22"/>
        </w:rPr>
        <w:t xml:space="preserve"> </w:t>
      </w:r>
    </w:p>
    <w:p w14:paraId="148FE81B" w14:textId="77777777" w:rsidR="00B03C58" w:rsidRPr="00F63861" w:rsidRDefault="00B03C58" w:rsidP="00B03C58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F63861">
        <w:rPr>
          <w:b/>
          <w:sz w:val="22"/>
        </w:rPr>
        <w:t>decyzja Komisji z dnia 5 marca 2003 r. w sprawie programu pomocowego dotyczącego wsparcia sprzedaży i eksportu produktów z rejonu Meklemburgii</w:t>
      </w:r>
      <w:r w:rsidRPr="002E4E57">
        <w:rPr>
          <w:rStyle w:val="Odwoanieprzypisudolnego"/>
          <w:sz w:val="22"/>
        </w:rPr>
        <w:footnoteReference w:id="2"/>
      </w:r>
      <w:r>
        <w:rPr>
          <w:b/>
          <w:sz w:val="22"/>
        </w:rPr>
        <w:t>:</w:t>
      </w:r>
    </w:p>
    <w:p w14:paraId="6FC818BD" w14:textId="77777777" w:rsidR="00B03C58" w:rsidRDefault="00B03C58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b/>
          <w:sz w:val="22"/>
        </w:rPr>
        <w:lastRenderedPageBreak/>
        <w:t xml:space="preserve">zazwyczaj </w:t>
      </w:r>
      <w:r w:rsidRPr="00BE2B41">
        <w:rPr>
          <w:b/>
          <w:sz w:val="22"/>
        </w:rPr>
        <w:t>nie stanowi pomocy eksportowej</w:t>
      </w:r>
      <w:r w:rsidRPr="002E4E57">
        <w:rPr>
          <w:sz w:val="22"/>
        </w:rPr>
        <w:t xml:space="preserve"> wsparcie przeznaczone na </w:t>
      </w:r>
      <w:r w:rsidRPr="00A0472D">
        <w:rPr>
          <w:b/>
          <w:sz w:val="22"/>
        </w:rPr>
        <w:t xml:space="preserve">usługi doradcze w zakresie </w:t>
      </w:r>
      <w:r w:rsidRPr="00BE2B41">
        <w:rPr>
          <w:b/>
          <w:sz w:val="22"/>
        </w:rPr>
        <w:t>przygotowania strategii marketingowych</w:t>
      </w:r>
      <w:r w:rsidRPr="002E4E57">
        <w:rPr>
          <w:sz w:val="22"/>
        </w:rPr>
        <w:t xml:space="preserve"> oraz przeznaczone na </w:t>
      </w:r>
      <w:r w:rsidRPr="00BE2B41">
        <w:rPr>
          <w:b/>
          <w:sz w:val="22"/>
        </w:rPr>
        <w:t>udział w targach i wystawach mających miejsce zarówno</w:t>
      </w:r>
      <w:r w:rsidRPr="002E4E57">
        <w:rPr>
          <w:sz w:val="22"/>
        </w:rPr>
        <w:t xml:space="preserve"> na terenie Niemiec</w:t>
      </w:r>
      <w:r>
        <w:rPr>
          <w:sz w:val="22"/>
        </w:rPr>
        <w:t>,</w:t>
      </w:r>
      <w:r w:rsidRPr="002E4E57">
        <w:rPr>
          <w:sz w:val="22"/>
        </w:rPr>
        <w:t xml:space="preserve"> jak i w innych państwach. </w:t>
      </w:r>
    </w:p>
    <w:p w14:paraId="6A6A0F0E" w14:textId="77777777" w:rsidR="00B03C58" w:rsidRDefault="00B03C58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494760">
        <w:rPr>
          <w:b/>
          <w:sz w:val="22"/>
        </w:rPr>
        <w:t>finansowanie tworzenia jednostek organizacyjnych (biur) mających reprezentować przedsiębiorcę zarówno na terenie Niemiec, jak i w innych państwach stanowi pomoc eksportową</w:t>
      </w:r>
      <w:r w:rsidRPr="00494760">
        <w:rPr>
          <w:sz w:val="22"/>
        </w:rPr>
        <w:t xml:space="preserve"> - </w:t>
      </w:r>
      <w:r>
        <w:rPr>
          <w:sz w:val="22"/>
        </w:rPr>
        <w:t>z</w:t>
      </w:r>
      <w:r w:rsidRPr="00494760">
        <w:rPr>
          <w:sz w:val="22"/>
        </w:rPr>
        <w:t xml:space="preserve"> informacji przedstawionych Komisji przez stronę niemiecką wynikało, iż nie można wykluczyć, że jednostki te nie będą wykorzystywane, jako komercyjne przedstawicielstwa handlowe, w oparciu o które mogłaby powstać sieć dystrybucyjna. </w:t>
      </w:r>
    </w:p>
    <w:p w14:paraId="01D08ACB" w14:textId="77777777" w:rsidR="00B03C58" w:rsidRDefault="00B03C58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494760">
        <w:rPr>
          <w:b/>
          <w:sz w:val="22"/>
        </w:rPr>
        <w:t>wsparcie przeznaczone na wynagrodzenia dla zagranicznych doradców</w:t>
      </w:r>
      <w:r>
        <w:rPr>
          <w:sz w:val="22"/>
        </w:rPr>
        <w:t xml:space="preserve"> </w:t>
      </w:r>
      <w:r w:rsidRPr="00494760">
        <w:rPr>
          <w:b/>
          <w:sz w:val="22"/>
        </w:rPr>
        <w:t>handlowych</w:t>
      </w:r>
      <w:r>
        <w:rPr>
          <w:sz w:val="22"/>
        </w:rPr>
        <w:t xml:space="preserve"> (znających języki obce i posiadających umiejętności w zakresie prowadzenia działalności międzynarodowej) KE </w:t>
      </w:r>
      <w:r w:rsidRPr="00494760">
        <w:rPr>
          <w:sz w:val="22"/>
        </w:rPr>
        <w:t xml:space="preserve">uznała za pomoc </w:t>
      </w:r>
      <w:r w:rsidRPr="00494760">
        <w:rPr>
          <w:i/>
          <w:sz w:val="22"/>
        </w:rPr>
        <w:t xml:space="preserve">de facto </w:t>
      </w:r>
      <w:r w:rsidRPr="00494760">
        <w:rPr>
          <w:sz w:val="22"/>
        </w:rPr>
        <w:t>przeznaczoną na pokrycie bieżących kosztów dotyczących prowadzenia działalności wywozowej.</w:t>
      </w:r>
    </w:p>
    <w:p w14:paraId="38694724" w14:textId="62B891B8" w:rsidR="00FE74A4" w:rsidRPr="00B03C58" w:rsidRDefault="007432BB" w:rsidP="00B03C58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b/>
          <w:sz w:val="22"/>
        </w:rPr>
        <w:t>stanowisko dotyczące</w:t>
      </w:r>
      <w:r w:rsidR="00B03C58" w:rsidRPr="00B03C58">
        <w:rPr>
          <w:b/>
          <w:sz w:val="22"/>
        </w:rPr>
        <w:t xml:space="preserve"> Programu Operacyjnego Innowacyjna Gospodarka 2007-2013</w:t>
      </w:r>
      <w:r w:rsidR="00B03C58">
        <w:rPr>
          <w:b/>
          <w:sz w:val="22"/>
        </w:rPr>
        <w:t>:</w:t>
      </w:r>
    </w:p>
    <w:p w14:paraId="39DB0F2A" w14:textId="1E7F90C4" w:rsidR="00B03C58" w:rsidRPr="00B03C58" w:rsidRDefault="00B03C58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B03C58">
        <w:rPr>
          <w:sz w:val="22"/>
        </w:rPr>
        <w:t>wsparcie dotyczące kosztów ekspertyz i usług doradczych,</w:t>
      </w:r>
      <w:r>
        <w:rPr>
          <w:b/>
          <w:sz w:val="22"/>
        </w:rPr>
        <w:t xml:space="preserve"> aby nie stanowiło pomocy eksportowej, nie powinno dotyczyć </w:t>
      </w:r>
      <w:r w:rsidRPr="00B03C58">
        <w:rPr>
          <w:sz w:val="22"/>
        </w:rPr>
        <w:t xml:space="preserve">ekspertyz i usług doradczych świadczonych w odniesieniu do </w:t>
      </w:r>
      <w:r>
        <w:rPr>
          <w:b/>
          <w:sz w:val="22"/>
        </w:rPr>
        <w:t>rynków zagranicznych</w:t>
      </w:r>
      <w:r w:rsidR="009918DA">
        <w:rPr>
          <w:rStyle w:val="Odwoanieprzypisudolnego"/>
          <w:b/>
          <w:sz w:val="22"/>
        </w:rPr>
        <w:footnoteReference w:id="3"/>
      </w:r>
      <w:r>
        <w:rPr>
          <w:b/>
          <w:sz w:val="22"/>
        </w:rPr>
        <w:t>, na których dane przedsiębiorstwo jest aktywne.</w:t>
      </w:r>
    </w:p>
    <w:p w14:paraId="23E19BFF" w14:textId="77777777" w:rsidR="00B03C58" w:rsidRPr="00992B2F" w:rsidRDefault="00152421" w:rsidP="00B03C58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152421">
        <w:rPr>
          <w:sz w:val="22"/>
        </w:rPr>
        <w:t>zastrzeżenia budzi</w:t>
      </w:r>
      <w:r>
        <w:rPr>
          <w:b/>
          <w:sz w:val="22"/>
        </w:rPr>
        <w:t xml:space="preserve"> </w:t>
      </w:r>
      <w:r w:rsidRPr="00152421">
        <w:rPr>
          <w:sz w:val="22"/>
        </w:rPr>
        <w:t>ponadto finansowanie kosztów</w:t>
      </w:r>
      <w:r>
        <w:rPr>
          <w:b/>
          <w:sz w:val="22"/>
        </w:rPr>
        <w:t xml:space="preserve"> uzyskania niezbędnych dokumentów uprawniających do wprowadzenia produktów lub usług przedsiębiorcy na wybrane rynki docelowe; </w:t>
      </w:r>
      <w:r w:rsidRPr="00152421">
        <w:rPr>
          <w:sz w:val="22"/>
        </w:rPr>
        <w:t xml:space="preserve">niektóre </w:t>
      </w:r>
      <w:r>
        <w:rPr>
          <w:b/>
          <w:sz w:val="22"/>
        </w:rPr>
        <w:t xml:space="preserve">dokumenty i certyfikaty </w:t>
      </w:r>
      <w:r w:rsidRPr="00152421">
        <w:rPr>
          <w:sz w:val="22"/>
        </w:rPr>
        <w:t>mogą być ponadto związane</w:t>
      </w:r>
      <w:r>
        <w:rPr>
          <w:b/>
          <w:sz w:val="22"/>
        </w:rPr>
        <w:t xml:space="preserve"> z konkretnymi transakcjami eksportowymi </w:t>
      </w:r>
      <w:r w:rsidRPr="00152421">
        <w:rPr>
          <w:sz w:val="22"/>
        </w:rPr>
        <w:t xml:space="preserve">i finansowanie kosztów ich uzyskania zostałoby </w:t>
      </w:r>
      <w:r>
        <w:rPr>
          <w:b/>
          <w:sz w:val="22"/>
        </w:rPr>
        <w:t>zakwalifikowane jako pomoc eksportowa.</w:t>
      </w:r>
    </w:p>
    <w:p w14:paraId="6D33EFD1" w14:textId="77777777" w:rsidR="009D5E11" w:rsidRPr="00992B2F" w:rsidRDefault="00992B2F" w:rsidP="00D6012A">
      <w:pPr>
        <w:spacing w:before="120"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ab/>
      </w:r>
      <w:r w:rsidR="009D5E11" w:rsidRPr="00992B2F">
        <w:rPr>
          <w:b/>
          <w:sz w:val="22"/>
          <w:u w:val="single"/>
        </w:rPr>
        <w:t>Konkluzja:</w:t>
      </w:r>
    </w:p>
    <w:p w14:paraId="7C8406A1" w14:textId="11FC2DF7" w:rsidR="009D5E11" w:rsidRPr="00992B2F" w:rsidRDefault="00992B2F" w:rsidP="009D5E11">
      <w:pPr>
        <w:autoSpaceDE w:val="0"/>
        <w:autoSpaceDN w:val="0"/>
        <w:adjustRightInd w:val="0"/>
        <w:spacing w:after="120"/>
        <w:jc w:val="both"/>
        <w:rPr>
          <w:sz w:val="22"/>
        </w:rPr>
      </w:pPr>
      <w:r w:rsidRPr="00992B2F">
        <w:rPr>
          <w:sz w:val="22"/>
        </w:rPr>
        <w:t>Za niedozwoloną pomoc wywozową</w:t>
      </w:r>
      <w:r w:rsidR="009D5E11" w:rsidRPr="00992B2F">
        <w:rPr>
          <w:sz w:val="22"/>
        </w:rPr>
        <w:t xml:space="preserve"> mogłoby zostać uznane </w:t>
      </w:r>
      <w:r w:rsidR="001B6A7F">
        <w:rPr>
          <w:sz w:val="22"/>
        </w:rPr>
        <w:t xml:space="preserve">w szczególności </w:t>
      </w:r>
      <w:r w:rsidR="009D5E11" w:rsidRPr="00992B2F">
        <w:rPr>
          <w:sz w:val="22"/>
        </w:rPr>
        <w:t>dofinansowanie</w:t>
      </w:r>
      <w:r w:rsidR="009571F4">
        <w:rPr>
          <w:sz w:val="22"/>
        </w:rPr>
        <w:t>:</w:t>
      </w:r>
      <w:r w:rsidR="00C05920">
        <w:rPr>
          <w:sz w:val="22"/>
        </w:rPr>
        <w:t xml:space="preserve">                                                        </w:t>
      </w:r>
    </w:p>
    <w:p w14:paraId="6FFF494B" w14:textId="496847FC" w:rsidR="009D5E11" w:rsidRPr="00992B2F" w:rsidRDefault="0044798E" w:rsidP="00992B2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sz w:val="22"/>
        </w:rPr>
        <w:t>d</w:t>
      </w:r>
      <w:r w:rsidR="009D5E11" w:rsidRPr="00992B2F">
        <w:rPr>
          <w:sz w:val="22"/>
        </w:rPr>
        <w:t>oradztwa w zakresie przeprowadzania negocjacji handlowych</w:t>
      </w:r>
      <w:r w:rsidR="00621C7E">
        <w:rPr>
          <w:sz w:val="22"/>
        </w:rPr>
        <w:t>,</w:t>
      </w:r>
      <w:r w:rsidR="009D5E11" w:rsidRPr="00992B2F">
        <w:rPr>
          <w:sz w:val="22"/>
        </w:rPr>
        <w:t xml:space="preserve"> jeśli jest związane z bezpośrednim uczestniczeniem</w:t>
      </w:r>
      <w:r w:rsidR="00B32A49">
        <w:rPr>
          <w:sz w:val="22"/>
        </w:rPr>
        <w:t xml:space="preserve"> firmy doradczej (doradcy)</w:t>
      </w:r>
      <w:r w:rsidR="009D5E11" w:rsidRPr="00992B2F">
        <w:rPr>
          <w:sz w:val="22"/>
        </w:rPr>
        <w:t xml:space="preserve"> w negocjacjach</w:t>
      </w:r>
      <w:r>
        <w:rPr>
          <w:sz w:val="22"/>
        </w:rPr>
        <w:t>;</w:t>
      </w:r>
    </w:p>
    <w:p w14:paraId="2FABB75C" w14:textId="77777777" w:rsidR="00992B2F" w:rsidRPr="00992B2F" w:rsidRDefault="0044798E" w:rsidP="00992B2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sz w:val="22"/>
        </w:rPr>
        <w:t>uzyskania certyfikatów</w:t>
      </w:r>
      <w:r>
        <w:rPr>
          <w:rStyle w:val="Odwoanieprzypisudolnego"/>
          <w:sz w:val="22"/>
        </w:rPr>
        <w:footnoteReference w:id="4"/>
      </w:r>
      <w:r>
        <w:rPr>
          <w:sz w:val="22"/>
        </w:rPr>
        <w:t xml:space="preserve"> niezbędnych</w:t>
      </w:r>
      <w:r w:rsidR="00992B2F" w:rsidRPr="00992B2F">
        <w:rPr>
          <w:sz w:val="22"/>
        </w:rPr>
        <w:t xml:space="preserve"> do wejścia na dany rynek zagraniczny</w:t>
      </w:r>
      <w:r>
        <w:rPr>
          <w:sz w:val="22"/>
        </w:rPr>
        <w:t>;</w:t>
      </w:r>
    </w:p>
    <w:p w14:paraId="69A61AAA" w14:textId="77777777" w:rsidR="00992B2F" w:rsidRDefault="0044798E" w:rsidP="001B6A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sz w:val="22"/>
        </w:rPr>
        <w:t>z</w:t>
      </w:r>
      <w:r w:rsidR="00992B2F" w:rsidRPr="00992B2F">
        <w:rPr>
          <w:sz w:val="22"/>
        </w:rPr>
        <w:t xml:space="preserve">akupu i wdrożenia systemów teleinformatycznych </w:t>
      </w:r>
      <w:r w:rsidR="001B6A7F" w:rsidRPr="001B6A7F">
        <w:rPr>
          <w:sz w:val="22"/>
        </w:rPr>
        <w:t xml:space="preserve">mogących stanowić kanał dystrybucji / sprzedaży produktów na nowy rynek, w tym </w:t>
      </w:r>
      <w:r w:rsidR="00992B2F" w:rsidRPr="00992B2F">
        <w:rPr>
          <w:sz w:val="22"/>
        </w:rPr>
        <w:t>przeznaczonych do automatyzacji współpracy pomiędzy p</w:t>
      </w:r>
      <w:r>
        <w:rPr>
          <w:sz w:val="22"/>
        </w:rPr>
        <w:t>artnerem polskim a zagranicznym;</w:t>
      </w:r>
    </w:p>
    <w:p w14:paraId="2362EBBB" w14:textId="77777777" w:rsidR="00A00EEE" w:rsidRDefault="00A00EEE" w:rsidP="001B6A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sz w:val="22"/>
        </w:rPr>
        <w:t>utworzenia i utrzymania działu eksportu działającego na terenie Polski, lub zagranicznego przedstawicielstwa handlowego;</w:t>
      </w:r>
    </w:p>
    <w:p w14:paraId="6C6871AC" w14:textId="127C1B4C" w:rsidR="00B1225E" w:rsidRPr="00B06EFD" w:rsidRDefault="00B1225E" w:rsidP="001B6A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B06EFD">
        <w:rPr>
          <w:sz w:val="22"/>
        </w:rPr>
        <w:t>koszt</w:t>
      </w:r>
      <w:r w:rsidR="009571F4" w:rsidRPr="00B06EFD">
        <w:rPr>
          <w:sz w:val="22"/>
        </w:rPr>
        <w:t>ów</w:t>
      </w:r>
      <w:r w:rsidRPr="00B06EFD">
        <w:rPr>
          <w:sz w:val="22"/>
        </w:rPr>
        <w:t xml:space="preserve"> wywozu i składowania towarów powiązanych z wdrożeniem i działaniem sieci dystrybucji albo bieżących wydatków związanych z działalnością wywozową;</w:t>
      </w:r>
    </w:p>
    <w:p w14:paraId="24FA212E" w14:textId="4D9A618C" w:rsidR="0044798E" w:rsidRPr="000B59B0" w:rsidRDefault="0044798E" w:rsidP="004479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bookmarkStart w:id="0" w:name="_GoBack"/>
      <w:bookmarkEnd w:id="0"/>
      <w:r w:rsidRPr="0044798E">
        <w:rPr>
          <w:sz w:val="22"/>
        </w:rPr>
        <w:t>ekspertyz i usług doradczych świadczonych w odniesieniu do</w:t>
      </w:r>
      <w:r w:rsidR="00731770">
        <w:rPr>
          <w:sz w:val="22"/>
        </w:rPr>
        <w:t xml:space="preserve"> produktów</w:t>
      </w:r>
      <w:r w:rsidR="00D66175">
        <w:rPr>
          <w:sz w:val="22"/>
        </w:rPr>
        <w:t xml:space="preserve"> przedsiębiorstwa</w:t>
      </w:r>
      <w:r w:rsidR="00731770">
        <w:rPr>
          <w:sz w:val="22"/>
        </w:rPr>
        <w:t xml:space="preserve">, które </w:t>
      </w:r>
      <w:r w:rsidR="004D7E80">
        <w:rPr>
          <w:sz w:val="22"/>
        </w:rPr>
        <w:t>są już w sprzedaży na danym rynku zagranicznym (geograficznym), w tym należących do tego samego rynku produktowego.</w:t>
      </w:r>
    </w:p>
    <w:p w14:paraId="2BBCA186" w14:textId="3A47768C" w:rsidR="00CD6E7F" w:rsidRDefault="007432BB" w:rsidP="00CD6E7F">
      <w:p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sz w:val="22"/>
        </w:rPr>
        <w:t>Stwierdzenie wystąpienia niedozwolonej pomocy eksportowej (wywozowej) spowoduje</w:t>
      </w:r>
      <w:r w:rsidR="00C62FA9">
        <w:rPr>
          <w:sz w:val="22"/>
        </w:rPr>
        <w:t xml:space="preserve"> koniecznoś</w:t>
      </w:r>
      <w:r>
        <w:rPr>
          <w:sz w:val="22"/>
        </w:rPr>
        <w:t>ć</w:t>
      </w:r>
      <w:r w:rsidR="00C62FA9">
        <w:rPr>
          <w:sz w:val="22"/>
        </w:rPr>
        <w:t xml:space="preserve"> zwrotu części lub całości dofinansowania wraz z odsetkami. Dlatego istotne jest, </w:t>
      </w:r>
      <w:r w:rsidR="00C62FA9">
        <w:rPr>
          <w:sz w:val="22"/>
        </w:rPr>
        <w:lastRenderedPageBreak/>
        <w:t>aby wnioskodawcy działania 1.2</w:t>
      </w:r>
      <w:r w:rsidR="007C489C">
        <w:rPr>
          <w:sz w:val="22"/>
        </w:rPr>
        <w:t xml:space="preserve"> POPW</w:t>
      </w:r>
      <w:r w:rsidR="00C62FA9">
        <w:rPr>
          <w:sz w:val="22"/>
        </w:rPr>
        <w:t xml:space="preserve">, </w:t>
      </w:r>
      <w:r w:rsidR="003D1870">
        <w:rPr>
          <w:sz w:val="22"/>
        </w:rPr>
        <w:t xml:space="preserve">już </w:t>
      </w:r>
      <w:r w:rsidR="00C62FA9">
        <w:rPr>
          <w:sz w:val="22"/>
        </w:rPr>
        <w:t>na et</w:t>
      </w:r>
      <w:r w:rsidR="003D1870">
        <w:rPr>
          <w:sz w:val="22"/>
        </w:rPr>
        <w:t>apie przygotowywania wniosków o </w:t>
      </w:r>
      <w:r w:rsidR="00C62FA9">
        <w:rPr>
          <w:sz w:val="22"/>
        </w:rPr>
        <w:t xml:space="preserve">dofinansowanie, przeprowadzali </w:t>
      </w:r>
      <w:r>
        <w:rPr>
          <w:sz w:val="22"/>
        </w:rPr>
        <w:t>bardzo szczegółową</w:t>
      </w:r>
      <w:r w:rsidR="00C62FA9">
        <w:rPr>
          <w:sz w:val="22"/>
        </w:rPr>
        <w:t xml:space="preserve"> ocenę planowanych do ponie</w:t>
      </w:r>
      <w:r>
        <w:rPr>
          <w:sz w:val="22"/>
        </w:rPr>
        <w:t>sienia wydatków</w:t>
      </w:r>
      <w:r w:rsidR="00C62FA9">
        <w:rPr>
          <w:sz w:val="22"/>
        </w:rPr>
        <w:t xml:space="preserve"> pod kątem możliwości </w:t>
      </w:r>
      <w:r>
        <w:rPr>
          <w:sz w:val="22"/>
        </w:rPr>
        <w:t xml:space="preserve">lub ryzyka </w:t>
      </w:r>
      <w:r w:rsidR="00C62FA9">
        <w:rPr>
          <w:sz w:val="22"/>
        </w:rPr>
        <w:t xml:space="preserve">wystąpienia </w:t>
      </w:r>
      <w:r w:rsidR="003D1870">
        <w:rPr>
          <w:sz w:val="22"/>
        </w:rPr>
        <w:t xml:space="preserve">niedozwolonej </w:t>
      </w:r>
      <w:r w:rsidR="00C62FA9">
        <w:rPr>
          <w:sz w:val="22"/>
        </w:rPr>
        <w:t xml:space="preserve">pomocy </w:t>
      </w:r>
      <w:r w:rsidR="003D1870">
        <w:rPr>
          <w:sz w:val="22"/>
        </w:rPr>
        <w:t>eksportowej</w:t>
      </w:r>
      <w:r w:rsidR="00C62FA9">
        <w:rPr>
          <w:sz w:val="22"/>
        </w:rPr>
        <w:t>. Ponadto niezwykle istotne jest, aby koszty kwalifikowa</w:t>
      </w:r>
      <w:r w:rsidR="000E60C8">
        <w:rPr>
          <w:sz w:val="22"/>
        </w:rPr>
        <w:t>l</w:t>
      </w:r>
      <w:r w:rsidR="00C62FA9">
        <w:rPr>
          <w:sz w:val="22"/>
        </w:rPr>
        <w:t xml:space="preserve">ne w projektach zgłaszanych do dofinansowania opisywane były w sposób </w:t>
      </w:r>
      <w:r>
        <w:rPr>
          <w:sz w:val="22"/>
        </w:rPr>
        <w:t xml:space="preserve">szczegółowy, </w:t>
      </w:r>
      <w:r w:rsidR="007C489C">
        <w:rPr>
          <w:sz w:val="22"/>
        </w:rPr>
        <w:t>czytelny</w:t>
      </w:r>
      <w:r w:rsidR="003D1870">
        <w:rPr>
          <w:sz w:val="22"/>
        </w:rPr>
        <w:t xml:space="preserve"> i </w:t>
      </w:r>
      <w:r w:rsidR="00C62FA9">
        <w:rPr>
          <w:sz w:val="22"/>
        </w:rPr>
        <w:t xml:space="preserve">jednoznaczny. </w:t>
      </w:r>
      <w:r w:rsidR="0071637C">
        <w:rPr>
          <w:sz w:val="22"/>
        </w:rPr>
        <w:t xml:space="preserve">Brak </w:t>
      </w:r>
      <w:r>
        <w:rPr>
          <w:sz w:val="22"/>
        </w:rPr>
        <w:t xml:space="preserve">wstępnej </w:t>
      </w:r>
      <w:r w:rsidR="0071637C">
        <w:rPr>
          <w:sz w:val="22"/>
        </w:rPr>
        <w:t xml:space="preserve">identyfikacji </w:t>
      </w:r>
      <w:r w:rsidR="002B1F61">
        <w:rPr>
          <w:sz w:val="22"/>
        </w:rPr>
        <w:t>ryzyka</w:t>
      </w:r>
      <w:r w:rsidR="0071637C">
        <w:rPr>
          <w:sz w:val="22"/>
        </w:rPr>
        <w:t xml:space="preserve"> </w:t>
      </w:r>
      <w:r w:rsidR="003D1870">
        <w:rPr>
          <w:sz w:val="22"/>
        </w:rPr>
        <w:t xml:space="preserve">wystąpienia </w:t>
      </w:r>
      <w:r w:rsidR="00C62FA9">
        <w:rPr>
          <w:sz w:val="22"/>
        </w:rPr>
        <w:t xml:space="preserve">niedozwolonej pomocy </w:t>
      </w:r>
      <w:r w:rsidR="003D1870">
        <w:rPr>
          <w:sz w:val="22"/>
        </w:rPr>
        <w:t xml:space="preserve">eksportowej i </w:t>
      </w:r>
      <w:r w:rsidR="002B1F61">
        <w:rPr>
          <w:sz w:val="22"/>
        </w:rPr>
        <w:t xml:space="preserve">zakwestionowania kwalifikowalności wydatków </w:t>
      </w:r>
      <w:r w:rsidR="00C62FA9">
        <w:rPr>
          <w:sz w:val="22"/>
        </w:rPr>
        <w:t xml:space="preserve">przez </w:t>
      </w:r>
      <w:r w:rsidR="0071637C">
        <w:rPr>
          <w:sz w:val="22"/>
        </w:rPr>
        <w:t>Komisję Oceny Projektów</w:t>
      </w:r>
      <w:r w:rsidR="00C62FA9">
        <w:rPr>
          <w:sz w:val="22"/>
        </w:rPr>
        <w:t xml:space="preserve"> </w:t>
      </w:r>
      <w:r w:rsidR="003D1870">
        <w:rPr>
          <w:sz w:val="22"/>
        </w:rPr>
        <w:t xml:space="preserve">oraz zawarcie umowy o dofinansowanie </w:t>
      </w:r>
      <w:r w:rsidR="00C62FA9">
        <w:rPr>
          <w:sz w:val="22"/>
        </w:rPr>
        <w:t>nie gwarantuje</w:t>
      </w:r>
      <w:r w:rsidR="003D1870">
        <w:rPr>
          <w:sz w:val="22"/>
        </w:rPr>
        <w:t xml:space="preserve"> jeszcze</w:t>
      </w:r>
      <w:r w:rsidR="00C62FA9">
        <w:rPr>
          <w:sz w:val="22"/>
        </w:rPr>
        <w:t xml:space="preserve">, </w:t>
      </w:r>
      <w:r w:rsidR="002B1F61">
        <w:rPr>
          <w:sz w:val="22"/>
        </w:rPr>
        <w:t>ż</w:t>
      </w:r>
      <w:r w:rsidR="00C62FA9">
        <w:rPr>
          <w:sz w:val="22"/>
        </w:rPr>
        <w:t xml:space="preserve">e </w:t>
      </w:r>
      <w:r w:rsidR="003D1870">
        <w:rPr>
          <w:sz w:val="22"/>
        </w:rPr>
        <w:t xml:space="preserve">wszystkie </w:t>
      </w:r>
      <w:r w:rsidR="00C62FA9">
        <w:rPr>
          <w:sz w:val="22"/>
        </w:rPr>
        <w:t xml:space="preserve">wydatki </w:t>
      </w:r>
      <w:r w:rsidR="003D1870">
        <w:rPr>
          <w:sz w:val="22"/>
        </w:rPr>
        <w:t xml:space="preserve">faktycznie </w:t>
      </w:r>
      <w:r w:rsidR="00C62FA9">
        <w:rPr>
          <w:sz w:val="22"/>
        </w:rPr>
        <w:t>podlegać będą w</w:t>
      </w:r>
      <w:r w:rsidR="000E60C8">
        <w:rPr>
          <w:sz w:val="22"/>
        </w:rPr>
        <w:t>s</w:t>
      </w:r>
      <w:r w:rsidR="00C62FA9">
        <w:rPr>
          <w:sz w:val="22"/>
        </w:rPr>
        <w:t>parciu</w:t>
      </w:r>
      <w:r w:rsidR="0071637C">
        <w:rPr>
          <w:rStyle w:val="Odwoanieprzypisudolnego"/>
          <w:sz w:val="22"/>
        </w:rPr>
        <w:footnoteReference w:id="5"/>
      </w:r>
      <w:r w:rsidR="00C62FA9">
        <w:rPr>
          <w:sz w:val="22"/>
        </w:rPr>
        <w:t>.</w:t>
      </w:r>
    </w:p>
    <w:p w14:paraId="2FB498CE" w14:textId="77777777" w:rsidR="0005323F" w:rsidRPr="00CD6E7F" w:rsidRDefault="0005323F" w:rsidP="00CD6E7F">
      <w:pPr>
        <w:autoSpaceDE w:val="0"/>
        <w:autoSpaceDN w:val="0"/>
        <w:adjustRightInd w:val="0"/>
        <w:spacing w:after="120"/>
        <w:jc w:val="both"/>
        <w:rPr>
          <w:sz w:val="22"/>
        </w:rPr>
      </w:pPr>
    </w:p>
    <w:sectPr w:rsidR="0005323F" w:rsidRPr="00CD6E7F" w:rsidSect="001C64DB">
      <w:headerReference w:type="default" r:id="rId8"/>
      <w:footerReference w:type="even" r:id="rId9"/>
      <w:footerReference w:type="default" r:id="rId10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0D2B" w14:textId="77777777" w:rsidR="00115FE9" w:rsidRDefault="00115FE9" w:rsidP="00B03C58">
      <w:r>
        <w:separator/>
      </w:r>
    </w:p>
  </w:endnote>
  <w:endnote w:type="continuationSeparator" w:id="0">
    <w:p w14:paraId="57880400" w14:textId="77777777" w:rsidR="00115FE9" w:rsidRDefault="00115FE9" w:rsidP="00B0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6B43E" w14:textId="77777777" w:rsidR="002A1C09" w:rsidRDefault="008063E6" w:rsidP="002A1C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1D65E5" w14:textId="77777777" w:rsidR="002A1C09" w:rsidRDefault="00B06EFD" w:rsidP="002A1C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E0130" w14:textId="77777777" w:rsidR="002A1C09" w:rsidRDefault="008063E6" w:rsidP="002A1C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6EF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CD07025" w14:textId="77777777" w:rsidR="005F5D08" w:rsidRDefault="008063E6" w:rsidP="002A1C09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83F1C" w14:textId="77777777" w:rsidR="00115FE9" w:rsidRDefault="00115FE9" w:rsidP="00B03C58">
      <w:r>
        <w:separator/>
      </w:r>
    </w:p>
  </w:footnote>
  <w:footnote w:type="continuationSeparator" w:id="0">
    <w:p w14:paraId="30F2A189" w14:textId="77777777" w:rsidR="00115FE9" w:rsidRDefault="00115FE9" w:rsidP="00B03C58">
      <w:r>
        <w:continuationSeparator/>
      </w:r>
    </w:p>
  </w:footnote>
  <w:footnote w:id="1">
    <w:p w14:paraId="4888A26D" w14:textId="77777777" w:rsidR="00B03C58" w:rsidRPr="001F5B8A" w:rsidRDefault="00B03C58" w:rsidP="00B03C58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2F7F75">
        <w:rPr>
          <w:rStyle w:val="Odwoanieprzypisudolnego"/>
          <w:rFonts w:ascii="Trebuchet MS" w:hAnsi="Trebuchet MS"/>
          <w:sz w:val="20"/>
          <w:szCs w:val="20"/>
        </w:rPr>
        <w:footnoteRef/>
      </w:r>
      <w:r w:rsidRPr="001F5B8A">
        <w:rPr>
          <w:rFonts w:ascii="Trebuchet MS" w:hAnsi="Trebuchet MS"/>
          <w:sz w:val="20"/>
          <w:szCs w:val="20"/>
        </w:rPr>
        <w:t xml:space="preserve"> Dz. Urz. UE L 63 z 04.03.2006 r.</w:t>
      </w:r>
    </w:p>
  </w:footnote>
  <w:footnote w:id="2">
    <w:p w14:paraId="3CCC1739" w14:textId="77777777" w:rsidR="00B03C58" w:rsidRPr="001151EC" w:rsidRDefault="00B03C58" w:rsidP="00B03C58">
      <w:pPr>
        <w:pStyle w:val="Tekstprzypisudolnego"/>
        <w:jc w:val="both"/>
        <w:rPr>
          <w:sz w:val="20"/>
          <w:szCs w:val="20"/>
        </w:rPr>
      </w:pPr>
      <w:r w:rsidRPr="00C11D55">
        <w:rPr>
          <w:rStyle w:val="Odwoanieprzypisudolnego"/>
          <w:rFonts w:ascii="Trebuchet MS" w:hAnsi="Trebuchet MS"/>
          <w:sz w:val="20"/>
          <w:szCs w:val="20"/>
        </w:rPr>
        <w:footnoteRef/>
      </w:r>
      <w:r w:rsidRPr="00C11D55">
        <w:rPr>
          <w:rFonts w:ascii="Trebuchet MS" w:hAnsi="Trebuchet MS"/>
          <w:sz w:val="20"/>
          <w:szCs w:val="20"/>
          <w:lang w:val="en-US"/>
        </w:rPr>
        <w:t xml:space="preserve"> Commission decision of 5 March 2003 on the aid scheme implemented by the Federal Republic </w:t>
      </w:r>
      <w:r>
        <w:rPr>
          <w:rFonts w:ascii="Trebuchet MS" w:hAnsi="Trebuchet MS"/>
          <w:sz w:val="20"/>
          <w:szCs w:val="20"/>
          <w:lang w:val="en-US"/>
        </w:rPr>
        <w:br/>
      </w:r>
      <w:r w:rsidRPr="00C11D55">
        <w:rPr>
          <w:rFonts w:ascii="Trebuchet MS" w:hAnsi="Trebuchet MS"/>
          <w:sz w:val="20"/>
          <w:szCs w:val="20"/>
          <w:lang w:val="en-US"/>
        </w:rPr>
        <w:t>of Germany in connection with sale and export of products from the Land of Mecklenburg-Western Pomerania (</w:t>
      </w:r>
      <w:r>
        <w:rPr>
          <w:rFonts w:ascii="Trebuchet MS" w:hAnsi="Trebuchet MS"/>
          <w:sz w:val="20"/>
          <w:szCs w:val="20"/>
          <w:lang w:val="en-US"/>
        </w:rPr>
        <w:t xml:space="preserve">Dz. Urz. </w:t>
      </w:r>
      <w:r w:rsidRPr="001151EC">
        <w:rPr>
          <w:rFonts w:ascii="Trebuchet MS" w:hAnsi="Trebuchet MS"/>
          <w:sz w:val="20"/>
          <w:szCs w:val="20"/>
        </w:rPr>
        <w:t>UE L 202 z 09.08.2003 r.).</w:t>
      </w:r>
    </w:p>
  </w:footnote>
  <w:footnote w:id="3">
    <w:p w14:paraId="1EE164A1" w14:textId="5EC5A15D" w:rsidR="009918DA" w:rsidRPr="0064483D" w:rsidRDefault="009918DA" w:rsidP="0064483D">
      <w:pPr>
        <w:pStyle w:val="Tekstprzypisudolnego"/>
        <w:jc w:val="both"/>
        <w:rPr>
          <w:rFonts w:ascii="Trebuchet MS" w:hAnsi="Trebuchet MS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="0064483D" w:rsidRPr="0064483D">
        <w:rPr>
          <w:rFonts w:ascii="Trebuchet MS" w:hAnsi="Trebuchet MS"/>
          <w:sz w:val="20"/>
        </w:rPr>
        <w:t>tj.</w:t>
      </w:r>
      <w:r w:rsidRPr="0064483D">
        <w:rPr>
          <w:rFonts w:ascii="Trebuchet MS" w:hAnsi="Trebuchet MS"/>
          <w:sz w:val="20"/>
        </w:rPr>
        <w:t xml:space="preserve"> </w:t>
      </w:r>
      <w:r w:rsidR="0064483D">
        <w:rPr>
          <w:rFonts w:ascii="Trebuchet MS" w:hAnsi="Trebuchet MS"/>
          <w:sz w:val="20"/>
        </w:rPr>
        <w:t xml:space="preserve">w odniesieniu do </w:t>
      </w:r>
      <w:r w:rsidRPr="0064483D">
        <w:rPr>
          <w:rFonts w:ascii="Trebuchet MS" w:hAnsi="Trebuchet MS"/>
          <w:sz w:val="20"/>
        </w:rPr>
        <w:t>w</w:t>
      </w:r>
      <w:r>
        <w:rPr>
          <w:rFonts w:ascii="Trebuchet MS" w:hAnsi="Trebuchet MS"/>
          <w:sz w:val="20"/>
        </w:rPr>
        <w:t>łaściw</w:t>
      </w:r>
      <w:r w:rsidR="0064483D">
        <w:rPr>
          <w:rFonts w:ascii="Trebuchet MS" w:hAnsi="Trebuchet MS"/>
          <w:sz w:val="20"/>
        </w:rPr>
        <w:t>ych</w:t>
      </w:r>
      <w:r>
        <w:rPr>
          <w:rFonts w:ascii="Trebuchet MS" w:hAnsi="Trebuchet MS"/>
          <w:sz w:val="20"/>
        </w:rPr>
        <w:t xml:space="preserve"> rynk</w:t>
      </w:r>
      <w:r w:rsidR="0064483D">
        <w:rPr>
          <w:rFonts w:ascii="Trebuchet MS" w:hAnsi="Trebuchet MS"/>
          <w:sz w:val="20"/>
        </w:rPr>
        <w:t>ów</w:t>
      </w:r>
      <w:r>
        <w:rPr>
          <w:rFonts w:ascii="Trebuchet MS" w:hAnsi="Trebuchet MS"/>
          <w:sz w:val="20"/>
        </w:rPr>
        <w:t xml:space="preserve"> asortymentowych (produktowych) na danym rynku geograficznym</w:t>
      </w:r>
      <w:r w:rsidR="0064483D">
        <w:rPr>
          <w:rFonts w:ascii="Trebuchet MS" w:hAnsi="Trebuchet MS"/>
          <w:sz w:val="20"/>
        </w:rPr>
        <w:t xml:space="preserve"> (innego kraju)</w:t>
      </w:r>
      <w:r>
        <w:rPr>
          <w:rFonts w:ascii="Trebuchet MS" w:hAnsi="Trebuchet MS"/>
          <w:sz w:val="20"/>
        </w:rPr>
        <w:t>, zgodnie z Obwieszczeniem</w:t>
      </w:r>
      <w:r w:rsidRPr="0064483D">
        <w:rPr>
          <w:rFonts w:ascii="Trebuchet MS" w:hAnsi="Trebuchet MS"/>
          <w:sz w:val="20"/>
        </w:rPr>
        <w:t xml:space="preserve"> </w:t>
      </w:r>
      <w:r w:rsidRPr="009918DA">
        <w:rPr>
          <w:rFonts w:ascii="Trebuchet MS" w:hAnsi="Trebuchet MS"/>
          <w:sz w:val="20"/>
        </w:rPr>
        <w:t>Komisji w sprawie definicji rynku właściwego do celów wspólnotowego prawa konkurencji (97/C 372/03)</w:t>
      </w:r>
      <w:r w:rsidR="0064483D">
        <w:rPr>
          <w:rFonts w:ascii="Trebuchet MS" w:hAnsi="Trebuchet MS"/>
          <w:sz w:val="20"/>
        </w:rPr>
        <w:t>.</w:t>
      </w:r>
    </w:p>
  </w:footnote>
  <w:footnote w:id="4">
    <w:p w14:paraId="7CA3C78F" w14:textId="796C774F" w:rsidR="0044798E" w:rsidRPr="0044798E" w:rsidRDefault="0044798E" w:rsidP="007C489C">
      <w:pPr>
        <w:pStyle w:val="Tekstprzypisudolnego"/>
        <w:jc w:val="both"/>
        <w:rPr>
          <w:rFonts w:ascii="Trebuchet MS" w:hAnsi="Trebuchet MS"/>
          <w:sz w:val="20"/>
        </w:rPr>
      </w:pPr>
      <w:r w:rsidRPr="0044798E">
        <w:rPr>
          <w:rStyle w:val="Odwoanieprzypisudolnego"/>
          <w:rFonts w:ascii="Trebuchet MS" w:hAnsi="Trebuchet MS"/>
          <w:sz w:val="20"/>
        </w:rPr>
        <w:footnoteRef/>
      </w:r>
      <w:r w:rsidRPr="0044798E">
        <w:rPr>
          <w:rFonts w:ascii="Trebuchet MS" w:hAnsi="Trebuchet MS"/>
          <w:sz w:val="20"/>
        </w:rPr>
        <w:t xml:space="preserve"> Dozwolony zakres wydatków kwalifikowanych w </w:t>
      </w:r>
      <w:r w:rsidR="00C62FA9">
        <w:rPr>
          <w:rFonts w:ascii="Trebuchet MS" w:hAnsi="Trebuchet MS"/>
          <w:sz w:val="20"/>
        </w:rPr>
        <w:t>d</w:t>
      </w:r>
      <w:r w:rsidRPr="0044798E">
        <w:rPr>
          <w:rFonts w:ascii="Trebuchet MS" w:hAnsi="Trebuchet MS"/>
          <w:sz w:val="20"/>
        </w:rPr>
        <w:t xml:space="preserve">ziałaniu 1.2 POPW w zakresie certyfikacji obejmuje koszty doradztwa związanego z przygotowaniem przedsiębiorstwa i jego produktu do certyfikacji (takie jak audyt przed certyfikacyjny, przygotowanie procedur, dokumentacji, opracowanie </w:t>
      </w:r>
      <w:r w:rsidR="009A57CD" w:rsidRPr="0044798E">
        <w:rPr>
          <w:rFonts w:ascii="Trebuchet MS" w:hAnsi="Trebuchet MS"/>
          <w:sz w:val="20"/>
        </w:rPr>
        <w:t>polityki jakości</w:t>
      </w:r>
      <w:r w:rsidRPr="0044798E">
        <w:rPr>
          <w:rFonts w:ascii="Trebuchet MS" w:hAnsi="Trebuchet MS"/>
          <w:sz w:val="20"/>
        </w:rPr>
        <w:t xml:space="preserve"> czy księgi jakości, itp.)</w:t>
      </w:r>
      <w:r w:rsidR="00E60381">
        <w:rPr>
          <w:rFonts w:ascii="Trebuchet MS" w:hAnsi="Trebuchet MS"/>
          <w:sz w:val="20"/>
        </w:rPr>
        <w:t xml:space="preserve"> oraz koszty usług komplementarnych dotyczących badań dot. zgodności produktów z określonymi normami</w:t>
      </w:r>
      <w:r w:rsidRPr="0044798E">
        <w:rPr>
          <w:rFonts w:ascii="Trebuchet MS" w:hAnsi="Trebuchet MS"/>
          <w:sz w:val="20"/>
        </w:rPr>
        <w:t>.</w:t>
      </w:r>
    </w:p>
  </w:footnote>
  <w:footnote w:id="5">
    <w:p w14:paraId="322BC1B2" w14:textId="77777777" w:rsidR="0071637C" w:rsidRDefault="0071637C" w:rsidP="007C489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1637C">
        <w:rPr>
          <w:rStyle w:val="Odwoanieprzypisudolnego"/>
          <w:sz w:val="20"/>
          <w:szCs w:val="20"/>
        </w:rPr>
        <w:footnoteRef/>
      </w:r>
      <w:r w:rsidRPr="007163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Zgodnie z podrozdziałem 6.2 ust. 2 </w:t>
      </w:r>
      <w:r w:rsidRPr="007C489C">
        <w:rPr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</w:t>
      </w:r>
      <w:r>
        <w:rPr>
          <w:sz w:val="20"/>
          <w:szCs w:val="20"/>
        </w:rPr>
        <w:t>:</w:t>
      </w:r>
    </w:p>
    <w:p w14:paraId="53B2902C" w14:textId="77777777" w:rsidR="0071637C" w:rsidRDefault="0071637C" w:rsidP="007C489C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>„</w:t>
      </w:r>
      <w:r w:rsidRPr="0071637C">
        <w:rPr>
          <w:rFonts w:eastAsiaTheme="minorHAnsi" w:cs="Arial"/>
          <w:i/>
          <w:sz w:val="20"/>
          <w:szCs w:val="20"/>
        </w:rPr>
        <w:t xml:space="preserve">Ocena kwalifikowalności poniesionego wydatku dokonywana jest przede wszystkim w trakcie realizacji projektu poprzez weryfikację wniosków o płatność oraz w trakcie kontroli projektu, w szczególności kontroli w miejscu realizacji projektu lub siedzibie beneficjenta. Niemniej, na etapie oceny wniosku o dofinansowanie dokonywana jest ocena kwalifikowalności planowanych wydatków. </w:t>
      </w:r>
      <w:r w:rsidRPr="007C489C">
        <w:rPr>
          <w:rFonts w:eastAsiaTheme="minorHAnsi" w:cs="Arial"/>
          <w:i/>
          <w:sz w:val="20"/>
          <w:szCs w:val="20"/>
          <w:u w:val="single"/>
        </w:rPr>
        <w:t>Przyjęcie danego projektu do realizacji i podpisanie z beneficjentem umowy o dofinansowanie nie oznacza, że wszystkie wydatki, które beneficjent przedstawi we wniosku o płatność w trakcie realizacji projektu, zostaną poświadczone, zrefundowane lub rozliczone</w:t>
      </w:r>
      <w:r w:rsidRPr="0071637C">
        <w:rPr>
          <w:rFonts w:eastAsiaTheme="minorHAnsi" w:cs="Arial"/>
          <w:i/>
          <w:sz w:val="20"/>
          <w:szCs w:val="20"/>
        </w:rPr>
        <w:t xml:space="preserve"> (w przypadku systemu zaliczkowego). </w:t>
      </w:r>
      <w:r w:rsidRPr="007C489C">
        <w:rPr>
          <w:rFonts w:eastAsiaTheme="minorHAnsi" w:cs="Arial"/>
          <w:i/>
          <w:sz w:val="20"/>
          <w:szCs w:val="20"/>
          <w:u w:val="single"/>
        </w:rPr>
        <w:t>Ocena kwalifikowalności poniesionych wydatków jest prowadzona także po zakończeniu realizacji projektu</w:t>
      </w:r>
      <w:r w:rsidRPr="0071637C">
        <w:rPr>
          <w:rFonts w:eastAsiaTheme="minorHAnsi" w:cs="Arial"/>
          <w:i/>
          <w:sz w:val="20"/>
          <w:szCs w:val="20"/>
        </w:rPr>
        <w:t xml:space="preserve"> w zakresie obowiązków nałożonych na beneficjenta umową o dofinansowanie oraz wynikających z przepisów prawa.</w:t>
      </w:r>
      <w:r>
        <w:rPr>
          <w:rFonts w:eastAsiaTheme="minorHAnsi" w:cs="Arial"/>
          <w:sz w:val="20"/>
          <w:szCs w:val="20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B990" w14:textId="77777777" w:rsidR="005F5D08" w:rsidRDefault="008063E6" w:rsidP="00F3687B">
    <w:pPr>
      <w:pStyle w:val="Nagwek"/>
      <w:tabs>
        <w:tab w:val="clear" w:pos="9072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03E5"/>
    <w:multiLevelType w:val="hybridMultilevel"/>
    <w:tmpl w:val="E534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7C69"/>
    <w:multiLevelType w:val="hybridMultilevel"/>
    <w:tmpl w:val="30408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190E35"/>
    <w:multiLevelType w:val="hybridMultilevel"/>
    <w:tmpl w:val="7FF08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58"/>
    <w:rsid w:val="00047F2D"/>
    <w:rsid w:val="0005323F"/>
    <w:rsid w:val="0007642B"/>
    <w:rsid w:val="000A6057"/>
    <w:rsid w:val="000B59B0"/>
    <w:rsid w:val="000E60C8"/>
    <w:rsid w:val="001151EC"/>
    <w:rsid w:val="00115FE9"/>
    <w:rsid w:val="00126E2F"/>
    <w:rsid w:val="00152421"/>
    <w:rsid w:val="00165737"/>
    <w:rsid w:val="001B6A7F"/>
    <w:rsid w:val="00247404"/>
    <w:rsid w:val="002571F6"/>
    <w:rsid w:val="002A0F0F"/>
    <w:rsid w:val="002B1F61"/>
    <w:rsid w:val="00342EF5"/>
    <w:rsid w:val="00350B87"/>
    <w:rsid w:val="00360E09"/>
    <w:rsid w:val="00390C65"/>
    <w:rsid w:val="00395BEC"/>
    <w:rsid w:val="003D1870"/>
    <w:rsid w:val="004309D0"/>
    <w:rsid w:val="0043236C"/>
    <w:rsid w:val="00433A27"/>
    <w:rsid w:val="0044798E"/>
    <w:rsid w:val="00457C2A"/>
    <w:rsid w:val="004D7E80"/>
    <w:rsid w:val="004F1FAF"/>
    <w:rsid w:val="004F445D"/>
    <w:rsid w:val="00506535"/>
    <w:rsid w:val="0052090F"/>
    <w:rsid w:val="00557D13"/>
    <w:rsid w:val="00571061"/>
    <w:rsid w:val="005935FB"/>
    <w:rsid w:val="005E00E5"/>
    <w:rsid w:val="005E2523"/>
    <w:rsid w:val="005F5B74"/>
    <w:rsid w:val="00607C04"/>
    <w:rsid w:val="006139E4"/>
    <w:rsid w:val="00613B28"/>
    <w:rsid w:val="00621C7E"/>
    <w:rsid w:val="00623E53"/>
    <w:rsid w:val="0064483D"/>
    <w:rsid w:val="006509DC"/>
    <w:rsid w:val="00663846"/>
    <w:rsid w:val="006807C2"/>
    <w:rsid w:val="0068534F"/>
    <w:rsid w:val="00696DC3"/>
    <w:rsid w:val="0071637C"/>
    <w:rsid w:val="00731770"/>
    <w:rsid w:val="00732562"/>
    <w:rsid w:val="007432BB"/>
    <w:rsid w:val="007610E9"/>
    <w:rsid w:val="007A4221"/>
    <w:rsid w:val="007C489C"/>
    <w:rsid w:val="007C785B"/>
    <w:rsid w:val="007F183F"/>
    <w:rsid w:val="008063E6"/>
    <w:rsid w:val="00867C57"/>
    <w:rsid w:val="00877D02"/>
    <w:rsid w:val="00897205"/>
    <w:rsid w:val="008C627A"/>
    <w:rsid w:val="008E45C4"/>
    <w:rsid w:val="00925A1B"/>
    <w:rsid w:val="009571F4"/>
    <w:rsid w:val="00966A1B"/>
    <w:rsid w:val="0097177A"/>
    <w:rsid w:val="00980E82"/>
    <w:rsid w:val="009918C2"/>
    <w:rsid w:val="009918DA"/>
    <w:rsid w:val="00992B2F"/>
    <w:rsid w:val="009A57CD"/>
    <w:rsid w:val="009D5E11"/>
    <w:rsid w:val="009E04C7"/>
    <w:rsid w:val="00A00EEE"/>
    <w:rsid w:val="00A1241E"/>
    <w:rsid w:val="00A45BD8"/>
    <w:rsid w:val="00A769F7"/>
    <w:rsid w:val="00B03C58"/>
    <w:rsid w:val="00B06EFD"/>
    <w:rsid w:val="00B1225E"/>
    <w:rsid w:val="00B32A49"/>
    <w:rsid w:val="00BF4046"/>
    <w:rsid w:val="00BF7410"/>
    <w:rsid w:val="00C05920"/>
    <w:rsid w:val="00C31CDD"/>
    <w:rsid w:val="00C52DAC"/>
    <w:rsid w:val="00C62FA9"/>
    <w:rsid w:val="00CC1997"/>
    <w:rsid w:val="00CD6E7F"/>
    <w:rsid w:val="00D17DE1"/>
    <w:rsid w:val="00D3361B"/>
    <w:rsid w:val="00D6012A"/>
    <w:rsid w:val="00D66175"/>
    <w:rsid w:val="00D82C2A"/>
    <w:rsid w:val="00DD5389"/>
    <w:rsid w:val="00E209DE"/>
    <w:rsid w:val="00E60381"/>
    <w:rsid w:val="00E92B97"/>
    <w:rsid w:val="00E974ED"/>
    <w:rsid w:val="00EF3FDA"/>
    <w:rsid w:val="00F063A9"/>
    <w:rsid w:val="00F9146F"/>
    <w:rsid w:val="00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160CF"/>
  <w15:docId w15:val="{E9D6CFC6-73CB-4D7B-9EC3-936A155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C58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03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3C58"/>
    <w:rPr>
      <w:rFonts w:ascii="Trebuchet MS" w:eastAsia="Times New Roman" w:hAnsi="Trebuchet MS" w:cs="Times New Roman"/>
      <w:sz w:val="18"/>
    </w:rPr>
  </w:style>
  <w:style w:type="paragraph" w:styleId="Stopka">
    <w:name w:val="footer"/>
    <w:basedOn w:val="Normalny"/>
    <w:link w:val="StopkaZnak"/>
    <w:rsid w:val="00B03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3C58"/>
    <w:rPr>
      <w:rFonts w:ascii="Trebuchet MS" w:eastAsia="Times New Roman" w:hAnsi="Trebuchet MS" w:cs="Times New Roman"/>
      <w:sz w:val="18"/>
    </w:rPr>
  </w:style>
  <w:style w:type="character" w:styleId="Odwoanieprzypisudolnego">
    <w:name w:val="footnote reference"/>
    <w:aliases w:val="Footnote Reference Number"/>
    <w:semiHidden/>
    <w:rsid w:val="00B03C58"/>
    <w:rPr>
      <w:vertAlign w:val="superscript"/>
    </w:rPr>
  </w:style>
  <w:style w:type="paragraph" w:styleId="Tekstprzypisudolnego">
    <w:name w:val="footnote text"/>
    <w:aliases w:val="fn,Schriftart: 9 pt,Schriftart: 10 pt,Schriftart: 8 pt,WB-Fußnotentext,Schriftart,9 pt,10 pt,8 pt,Podrozdział,Footnote,Podrozdzia3,-E Fuﬂnotentext,Fuﬂnotentext Ursprung,Fußnotentext Ursprung,-E Fußnotentext,Footnote text,Fußnote"/>
    <w:basedOn w:val="Normalny"/>
    <w:link w:val="TekstprzypisudolnegoZnak"/>
    <w:semiHidden/>
    <w:rsid w:val="00B03C58"/>
    <w:rPr>
      <w:rFonts w:ascii="Gill Sans MT" w:hAnsi="Gill Sans MT"/>
      <w:sz w:val="24"/>
      <w:szCs w:val="24"/>
      <w:lang w:eastAsia="pl-PL"/>
    </w:rPr>
  </w:style>
  <w:style w:type="character" w:customStyle="1" w:styleId="TekstprzypisudolnegoZnak">
    <w:name w:val="Tekst przypisu dolnego Znak"/>
    <w:aliases w:val="fn Znak,Schriftart: 9 pt Znak,Schriftart: 10 pt Znak,Schriftart: 8 pt Znak,WB-Fußnotentext Znak,Schriftart Znak,9 pt Znak,10 pt Znak,8 pt Znak,Podrozdział Znak,Footnote Znak,Podrozdzia3 Znak,-E Fuﬂnotentext Znak,Fußnote Znak"/>
    <w:basedOn w:val="Domylnaczcionkaakapitu"/>
    <w:link w:val="Tekstprzypisudolnego"/>
    <w:semiHidden/>
    <w:rsid w:val="00B03C58"/>
    <w:rPr>
      <w:rFonts w:ascii="Gill Sans MT" w:eastAsia="Times New Roman" w:hAnsi="Gill Sans MT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03C58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C5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C58"/>
    <w:rPr>
      <w:rFonts w:ascii="Trebuchet MS" w:eastAsia="Times New Roman" w:hAnsi="Trebuchet MS" w:cs="Times New Roman"/>
      <w:i/>
      <w:iCs/>
      <w:color w:val="5B9BD5" w:themeColor="accent1"/>
      <w:sz w:val="18"/>
    </w:rPr>
  </w:style>
  <w:style w:type="paragraph" w:styleId="Akapitzlist">
    <w:name w:val="List Paragraph"/>
    <w:basedOn w:val="Normalny"/>
    <w:uiPriority w:val="34"/>
    <w:qFormat/>
    <w:rsid w:val="00B0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0EEE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EEE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A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A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A1B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A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A1B"/>
    <w:rPr>
      <w:rFonts w:ascii="Trebuchet MS" w:eastAsia="Times New Roman" w:hAnsi="Trebuchet M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0B4B-F4B6-4FF7-BE1E-F244C41E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Pieszka Adriana</cp:lastModifiedBy>
  <cp:revision>7</cp:revision>
  <cp:lastPrinted>2019-02-13T14:56:00Z</cp:lastPrinted>
  <dcterms:created xsi:type="dcterms:W3CDTF">2019-02-12T15:20:00Z</dcterms:created>
  <dcterms:modified xsi:type="dcterms:W3CDTF">2019-02-27T15:08:00Z</dcterms:modified>
</cp:coreProperties>
</file>