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82B5B" w14:textId="0A3217B5" w:rsidR="00D7773F" w:rsidRPr="00D7773F" w:rsidRDefault="003B4AE1" w:rsidP="00782F3D">
      <w:pPr>
        <w:tabs>
          <w:tab w:val="left" w:pos="8505"/>
          <w:tab w:val="left" w:pos="13608"/>
        </w:tabs>
        <w:spacing w:after="600" w:line="360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  <w:r w:rsidR="00D7773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9240666" w14:textId="51050BBC" w:rsidR="00D7773F" w:rsidRPr="00D7773F" w:rsidRDefault="00D7773F" w:rsidP="00782F3D">
      <w:pPr>
        <w:tabs>
          <w:tab w:val="left" w:pos="8505"/>
          <w:tab w:val="left" w:pos="13608"/>
        </w:tabs>
        <w:spacing w:after="36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Nazwa Wnioskodawcy:</w:t>
      </w:r>
      <w:r w:rsidR="00E75AEB">
        <w:rPr>
          <w:rFonts w:eastAsia="Lucida Sans Unicode" w:cstheme="minorHAnsi"/>
          <w:sz w:val="24"/>
          <w:szCs w:val="24"/>
          <w:lang w:eastAsia="ar-SA"/>
        </w:rPr>
        <w:t xml:space="preserve"> ………………………………………………………………………………..</w:t>
      </w:r>
    </w:p>
    <w:p w14:paraId="4E18AB38" w14:textId="4BA35724" w:rsidR="00DF408C" w:rsidRPr="00D7773F" w:rsidRDefault="00D7773F" w:rsidP="002F60B2">
      <w:pPr>
        <w:tabs>
          <w:tab w:val="left" w:pos="8505"/>
          <w:tab w:val="left" w:pos="13608"/>
        </w:tabs>
        <w:spacing w:after="600" w:line="360" w:lineRule="auto"/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Numer wniosku o dofinansowanie:</w:t>
      </w:r>
      <w:r w:rsidR="00E75AEB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782F3D" w:rsidRPr="00782F3D">
        <w:rPr>
          <w:rFonts w:eastAsia="Lucida Sans Unicode" w:cstheme="minorHAnsi"/>
          <w:sz w:val="24"/>
          <w:szCs w:val="24"/>
          <w:lang w:eastAsia="ar-SA"/>
        </w:rPr>
        <w:t>…………………</w:t>
      </w:r>
      <w:r w:rsidR="00E75AEB" w:rsidRPr="00782F3D">
        <w:rPr>
          <w:rFonts w:eastAsia="Lucida Sans Unicode" w:cstheme="minorHAnsi"/>
          <w:sz w:val="24"/>
          <w:szCs w:val="24"/>
          <w:lang w:eastAsia="ar-SA"/>
        </w:rPr>
        <w:t>…………………………………….</w:t>
      </w:r>
    </w:p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782F3D">
      <w:pPr>
        <w:pStyle w:val="Akapitzlist"/>
        <w:numPr>
          <w:ilvl w:val="0"/>
          <w:numId w:val="13"/>
        </w:numPr>
        <w:spacing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1B26E2EB" w:rsidR="005662E4" w:rsidRPr="00D7773F" w:rsidRDefault="003C74A2" w:rsidP="00782F3D">
      <w:pPr>
        <w:pStyle w:val="Akapitzlist"/>
        <w:numPr>
          <w:ilvl w:val="0"/>
          <w:numId w:val="14"/>
        </w:numPr>
        <w:spacing w:after="120" w:line="276" w:lineRule="auto"/>
        <w:ind w:left="1071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782F3D">
        <w:rPr>
          <w:rFonts w:eastAsia="Lucida Sans Unicode" w:cstheme="minorHAnsi"/>
          <w:sz w:val="24"/>
          <w:szCs w:val="24"/>
          <w:lang w:eastAsia="ar-SA"/>
        </w:rPr>
        <w:t>,</w:t>
      </w:r>
    </w:p>
    <w:p w14:paraId="7AA6FFE6" w14:textId="4D2C7D93" w:rsidR="003C74A2" w:rsidRPr="00D7773F" w:rsidRDefault="003C74A2" w:rsidP="00782F3D">
      <w:pPr>
        <w:pStyle w:val="Akapitzlist"/>
        <w:numPr>
          <w:ilvl w:val="0"/>
          <w:numId w:val="14"/>
        </w:numPr>
        <w:spacing w:after="120" w:line="276" w:lineRule="auto"/>
        <w:ind w:left="1071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782F3D">
        <w:rPr>
          <w:rFonts w:eastAsia="Lucida Sans Unicode" w:cstheme="minorHAnsi"/>
          <w:sz w:val="24"/>
          <w:szCs w:val="24"/>
          <w:lang w:eastAsia="ar-SA"/>
        </w:rPr>
        <w:t>,</w:t>
      </w:r>
    </w:p>
    <w:p w14:paraId="51148598" w14:textId="1B919313" w:rsidR="003A0C91" w:rsidRPr="00D7773F" w:rsidRDefault="003A0C91" w:rsidP="00782F3D">
      <w:pPr>
        <w:pStyle w:val="Akapitzlist"/>
        <w:numPr>
          <w:ilvl w:val="0"/>
          <w:numId w:val="14"/>
        </w:numPr>
        <w:spacing w:after="120" w:line="276" w:lineRule="auto"/>
        <w:ind w:left="1071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782F3D">
        <w:rPr>
          <w:rFonts w:eastAsia="Lucida Sans Unicode" w:cstheme="minorHAnsi"/>
          <w:sz w:val="24"/>
          <w:szCs w:val="24"/>
          <w:lang w:eastAsia="ar-SA"/>
        </w:rPr>
        <w:t>,</w:t>
      </w:r>
    </w:p>
    <w:p w14:paraId="63C94AFE" w14:textId="470B20EB" w:rsidR="00983C95" w:rsidRPr="00D7773F" w:rsidRDefault="004277BB" w:rsidP="00782F3D">
      <w:pPr>
        <w:pStyle w:val="Akapitzlist"/>
        <w:numPr>
          <w:ilvl w:val="0"/>
          <w:numId w:val="14"/>
        </w:numPr>
        <w:spacing w:after="120" w:line="276" w:lineRule="auto"/>
        <w:ind w:left="1071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 xml:space="preserve">nia </w:t>
      </w:r>
      <w:r w:rsidRPr="00D7773F">
        <w:rPr>
          <w:rStyle w:val="markedcontent"/>
          <w:rFonts w:cstheme="minorHAnsi"/>
          <w:sz w:val="24"/>
          <w:szCs w:val="24"/>
        </w:rPr>
        <w:lastRenderedPageBreak/>
        <w:t>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205ABAC2" w:rsidR="002275D5" w:rsidRPr="00D7773F" w:rsidRDefault="008E3E09" w:rsidP="00782F3D">
      <w:pPr>
        <w:pStyle w:val="Akapitzlist"/>
        <w:keepNext/>
        <w:numPr>
          <w:ilvl w:val="0"/>
          <w:numId w:val="13"/>
        </w:numPr>
        <w:spacing w:after="12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209F8C0" w:rsidR="00CA2F40" w:rsidRPr="00D7773F" w:rsidRDefault="006E1B1D" w:rsidP="00782F3D">
      <w:pPr>
        <w:pStyle w:val="Akapitzlist"/>
        <w:keepNext/>
        <w:numPr>
          <w:ilvl w:val="0"/>
          <w:numId w:val="15"/>
        </w:numPr>
        <w:spacing w:after="120" w:line="276" w:lineRule="auto"/>
        <w:ind w:left="1071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(WE) nr 765/2006,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9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0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1"/>
      </w:r>
      <w:r w:rsidR="00782F3D">
        <w:rPr>
          <w:rFonts w:eastAsia="Lucida Sans Unicode" w:cstheme="minorHAnsi"/>
          <w:bCs/>
          <w:sz w:val="24"/>
          <w:szCs w:val="24"/>
          <w:lang w:eastAsia="ar-SA"/>
        </w:rPr>
        <w:t>,</w:t>
      </w:r>
    </w:p>
    <w:p w14:paraId="37E50B3F" w14:textId="34A5555C" w:rsidR="00577DCF" w:rsidRPr="00D7773F" w:rsidRDefault="006E1B1D" w:rsidP="00782F3D">
      <w:pPr>
        <w:pStyle w:val="Akapitzlist"/>
        <w:numPr>
          <w:ilvl w:val="0"/>
          <w:numId w:val="15"/>
        </w:numPr>
        <w:spacing w:after="120" w:line="276" w:lineRule="auto"/>
        <w:ind w:left="1071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zaspokojenie roszczeń, o których mowa w art. 11 </w:t>
      </w:r>
      <w:r w:rsidR="00320F3F" w:rsidRPr="00D7773F">
        <w:rPr>
          <w:rFonts w:eastAsia="Lucida Sans Unicode" w:cstheme="minorHAnsi"/>
          <w:sz w:val="24"/>
          <w:szCs w:val="24"/>
          <w:lang w:eastAsia="ar-SA"/>
        </w:rPr>
        <w:t xml:space="preserve">rozporządzeń Rady: (UE) nr 833/2014,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269/2014, (UE) nr 208/2014</w:t>
      </w:r>
      <w:r w:rsidR="00CC3BA9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A631B3" w:rsidRPr="00D7773F">
        <w:rPr>
          <w:rFonts w:eastAsia="Lucida Sans Unicode" w:cstheme="minorHAnsi"/>
          <w:sz w:val="24"/>
          <w:szCs w:val="24"/>
          <w:lang w:eastAsia="ar-SA"/>
        </w:rPr>
        <w:t>art. 10 rozporządzenia Rady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(UE) 2022/263, 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>art. 6 rozporządzenia Rady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(UE) nr 692/2014</w:t>
      </w:r>
      <w:r w:rsidR="0086788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CC3BA9" w:rsidRPr="00D7773F">
        <w:rPr>
          <w:rFonts w:eastAsia="Lucida Sans Unicode" w:cstheme="minorHAnsi"/>
          <w:sz w:val="24"/>
          <w:szCs w:val="24"/>
          <w:lang w:eastAsia="ar-SA"/>
        </w:rPr>
        <w:t xml:space="preserve">art. 8d 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 xml:space="preserve">rozporządzenia Rady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1558AD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A57A7C" w:rsidRPr="00D7773F">
        <w:rPr>
          <w:rFonts w:eastAsia="Lucida Sans Unicode" w:cstheme="minorHAnsi"/>
          <w:bCs/>
          <w:sz w:val="24"/>
          <w:szCs w:val="24"/>
          <w:lang w:eastAsia="ar-SA"/>
        </w:rPr>
        <w:t>art.</w:t>
      </w:r>
      <w:r w:rsidR="004115D4" w:rsidRPr="00D7773F">
        <w:rPr>
          <w:rFonts w:eastAsia="Lucida Sans Unicode" w:cstheme="minorHAnsi"/>
          <w:bCs/>
          <w:sz w:val="24"/>
          <w:szCs w:val="24"/>
          <w:lang w:eastAsia="ar-SA"/>
        </w:rPr>
        <w:t> </w:t>
      </w:r>
      <w:r w:rsidR="00A57A7C" w:rsidRPr="00D7773F">
        <w:rPr>
          <w:rFonts w:eastAsia="Lucida Sans Unicode" w:cstheme="minorHAnsi"/>
          <w:bCs/>
          <w:sz w:val="24"/>
          <w:szCs w:val="24"/>
          <w:lang w:eastAsia="ar-SA"/>
        </w:rPr>
        <w:t>7 decyzji Rady 2014/512/</w:t>
      </w:r>
      <w:proofErr w:type="spellStart"/>
      <w:r w:rsidR="00A57A7C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75AEB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</w:t>
      </w:r>
      <w:r w:rsidR="00A57A7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</w:t>
      </w:r>
      <w:r w:rsidR="001558AD" w:rsidRPr="00D7773F">
        <w:rPr>
          <w:rFonts w:eastAsia="Lucida Sans Unicode" w:cstheme="minorHAnsi"/>
          <w:bCs/>
          <w:sz w:val="24"/>
          <w:szCs w:val="24"/>
          <w:lang w:eastAsia="ar-SA"/>
        </w:rPr>
        <w:t>art. 2n decyzji Rady 2012/642/</w:t>
      </w:r>
      <w:proofErr w:type="spellStart"/>
      <w:r w:rsidR="001558AD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397B41">
        <w:rPr>
          <w:rFonts w:eastAsia="Lucida Sans Unicode" w:cstheme="minorHAnsi"/>
          <w:bCs/>
          <w:sz w:val="24"/>
          <w:szCs w:val="24"/>
          <w:lang w:eastAsia="ar-SA"/>
        </w:rPr>
        <w:t>.</w:t>
      </w:r>
    </w:p>
    <w:p w14:paraId="0E2B9CAF" w14:textId="77777777" w:rsidR="002F60B2" w:rsidRDefault="002F60B2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</w:p>
    <w:p w14:paraId="52982566" w14:textId="0B7121D5" w:rsidR="003C74A2" w:rsidRPr="00D7773F" w:rsidRDefault="003C74A2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D7773F">
        <w:rPr>
          <w:rFonts w:eastAsia="Lucida Sans Unicode" w:cstheme="minorHAnsi"/>
          <w:iCs/>
          <w:sz w:val="24"/>
          <w:szCs w:val="24"/>
          <w:lang w:eastAsia="ar-SA"/>
        </w:rPr>
        <w:t>Niżej podpisany(-a)(-i) oświadcza(-ją), że</w:t>
      </w:r>
      <w:r w:rsidR="00432FC8" w:rsidRPr="00D7773F">
        <w:rPr>
          <w:rFonts w:eastAsia="Lucida Sans Unicode" w:cstheme="minorHAnsi"/>
          <w:iCs/>
          <w:sz w:val="24"/>
          <w:szCs w:val="24"/>
          <w:lang w:eastAsia="ar-SA"/>
        </w:rPr>
        <w:t>,</w:t>
      </w:r>
      <w:r w:rsidRPr="00D7773F">
        <w:rPr>
          <w:rFonts w:eastAsia="Lucida Sans Unicode" w:cstheme="minorHAnsi"/>
          <w:iCs/>
          <w:sz w:val="24"/>
          <w:szCs w:val="24"/>
          <w:lang w:eastAsia="ar-SA"/>
        </w:rPr>
        <w:t xml:space="preserve"> </w:t>
      </w:r>
      <w:r w:rsidR="00F02132" w:rsidRPr="00D7773F">
        <w:rPr>
          <w:rFonts w:eastAsia="Lucida Sans Unicode" w:cstheme="minorHAnsi"/>
          <w:iCs/>
          <w:sz w:val="24"/>
          <w:szCs w:val="24"/>
          <w:lang w:eastAsia="ar-SA"/>
        </w:rPr>
        <w:t>zgodnie z jego(jej)(ich) najlepszą wiedzą</w:t>
      </w:r>
      <w:r w:rsidR="00432FC8" w:rsidRPr="00D7773F">
        <w:rPr>
          <w:rFonts w:eastAsia="Lucida Sans Unicode" w:cstheme="minorHAnsi"/>
          <w:iCs/>
          <w:sz w:val="24"/>
          <w:szCs w:val="24"/>
          <w:lang w:eastAsia="ar-SA"/>
        </w:rPr>
        <w:t>,</w:t>
      </w:r>
      <w:r w:rsidR="00F02132" w:rsidRPr="00D7773F">
        <w:rPr>
          <w:rFonts w:eastAsia="Lucida Sans Unicode" w:cstheme="minorHAnsi"/>
          <w:iCs/>
          <w:sz w:val="24"/>
          <w:szCs w:val="24"/>
          <w:lang w:eastAsia="ar-SA"/>
        </w:rPr>
        <w:t xml:space="preserve"> </w:t>
      </w:r>
      <w:r w:rsidR="00CF7BEC" w:rsidRPr="00D7773F">
        <w:rPr>
          <w:rFonts w:eastAsia="Lucida Sans Unicode" w:cstheme="minorHAnsi"/>
          <w:iCs/>
          <w:sz w:val="24"/>
          <w:szCs w:val="24"/>
          <w:lang w:eastAsia="ar-SA"/>
        </w:rPr>
        <w:t xml:space="preserve">powyższe oświadczenie jest </w:t>
      </w:r>
      <w:r w:rsidR="00F71B31" w:rsidRPr="00D7773F">
        <w:rPr>
          <w:rFonts w:eastAsia="Lucida Sans Unicode" w:cstheme="minorHAnsi"/>
          <w:iCs/>
          <w:sz w:val="24"/>
          <w:szCs w:val="24"/>
          <w:lang w:eastAsia="ar-SA"/>
        </w:rPr>
        <w:t>zgodne z</w:t>
      </w:r>
      <w:r w:rsidR="00F02132" w:rsidRPr="00D7773F">
        <w:rPr>
          <w:rFonts w:eastAsia="Lucida Sans Unicode" w:cstheme="minorHAnsi"/>
          <w:iCs/>
          <w:sz w:val="24"/>
          <w:szCs w:val="24"/>
          <w:lang w:eastAsia="ar-SA"/>
        </w:rPr>
        <w:t xml:space="preserve"> </w:t>
      </w:r>
      <w:r w:rsidR="00F71B31" w:rsidRPr="00D7773F">
        <w:rPr>
          <w:rFonts w:eastAsia="Lucida Sans Unicode" w:cstheme="minorHAnsi"/>
          <w:iCs/>
          <w:sz w:val="24"/>
          <w:szCs w:val="24"/>
          <w:lang w:eastAsia="ar-SA"/>
        </w:rPr>
        <w:t xml:space="preserve">prawdą </w:t>
      </w:r>
      <w:r w:rsidR="00F02132" w:rsidRPr="00D7773F">
        <w:rPr>
          <w:rFonts w:eastAsia="Lucida Sans Unicode" w:cstheme="minorHAnsi"/>
          <w:iCs/>
          <w:sz w:val="24"/>
          <w:szCs w:val="24"/>
          <w:lang w:eastAsia="ar-SA"/>
        </w:rPr>
        <w:t>i</w:t>
      </w:r>
      <w:r w:rsidRPr="00D7773F">
        <w:rPr>
          <w:rFonts w:eastAsia="Lucida Sans Unicode" w:cstheme="minorHAnsi"/>
          <w:iCs/>
          <w:sz w:val="24"/>
          <w:szCs w:val="24"/>
          <w:lang w:eastAsia="ar-SA"/>
        </w:rPr>
        <w:t xml:space="preserve"> że został</w:t>
      </w:r>
      <w:r w:rsidR="00CF7BEC" w:rsidRPr="00D7773F">
        <w:rPr>
          <w:rFonts w:eastAsia="Lucida Sans Unicode" w:cstheme="minorHAnsi"/>
          <w:iCs/>
          <w:sz w:val="24"/>
          <w:szCs w:val="24"/>
          <w:lang w:eastAsia="ar-SA"/>
        </w:rPr>
        <w:t>o</w:t>
      </w:r>
      <w:r w:rsidRPr="00D7773F">
        <w:rPr>
          <w:rFonts w:eastAsia="Lucida Sans Unicode" w:cstheme="minorHAnsi"/>
          <w:iCs/>
          <w:sz w:val="24"/>
          <w:szCs w:val="24"/>
          <w:lang w:eastAsia="ar-SA"/>
        </w:rPr>
        <w:t xml:space="preserve"> </w:t>
      </w:r>
      <w:r w:rsidR="00CF7BEC" w:rsidRPr="00D7773F">
        <w:rPr>
          <w:rFonts w:eastAsia="Lucida Sans Unicode" w:cstheme="minorHAnsi"/>
          <w:iCs/>
          <w:sz w:val="24"/>
          <w:szCs w:val="24"/>
          <w:lang w:eastAsia="ar-SA"/>
        </w:rPr>
        <w:t xml:space="preserve">złożone </w:t>
      </w:r>
      <w:r w:rsidRPr="00D7773F">
        <w:rPr>
          <w:rFonts w:eastAsia="Lucida Sans Unicode" w:cstheme="minorHAnsi"/>
          <w:iCs/>
          <w:sz w:val="24"/>
          <w:szCs w:val="24"/>
          <w:lang w:eastAsia="ar-SA"/>
        </w:rPr>
        <w:t>z</w:t>
      </w:r>
      <w:r w:rsidR="00F71B31" w:rsidRPr="00D7773F">
        <w:rPr>
          <w:rFonts w:eastAsia="Lucida Sans Unicode" w:cstheme="minorHAnsi"/>
          <w:iCs/>
          <w:sz w:val="24"/>
          <w:szCs w:val="24"/>
          <w:lang w:eastAsia="ar-SA"/>
        </w:rPr>
        <w:t>e</w:t>
      </w:r>
      <w:r w:rsidRPr="00D7773F">
        <w:rPr>
          <w:rFonts w:eastAsia="Lucida Sans Unicode" w:cstheme="minorHAnsi"/>
          <w:iCs/>
          <w:sz w:val="24"/>
          <w:szCs w:val="24"/>
          <w:lang w:eastAsia="ar-SA"/>
        </w:rPr>
        <w:t xml:space="preserve"> świadomością konsekwencji wprowadzenia </w:t>
      </w:r>
      <w:r w:rsidR="00F71B31" w:rsidRPr="00D7773F">
        <w:rPr>
          <w:rFonts w:eastAsia="Lucida Sans Unicode" w:cstheme="minorHAnsi"/>
          <w:iCs/>
          <w:sz w:val="24"/>
          <w:szCs w:val="24"/>
          <w:lang w:eastAsia="ar-SA"/>
        </w:rPr>
        <w:t xml:space="preserve">PARP </w:t>
      </w:r>
      <w:r w:rsidRPr="00D7773F">
        <w:rPr>
          <w:rFonts w:eastAsia="Lucida Sans Unicode" w:cstheme="minorHAnsi"/>
          <w:iCs/>
          <w:sz w:val="24"/>
          <w:szCs w:val="24"/>
          <w:lang w:eastAsia="ar-SA"/>
        </w:rPr>
        <w:t xml:space="preserve">w błąd. </w:t>
      </w:r>
    </w:p>
    <w:p w14:paraId="4BC10D13" w14:textId="55052E78" w:rsidR="00A0507F" w:rsidRDefault="003B4AE1" w:rsidP="003B4AE1">
      <w:pPr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D7773F">
        <w:rPr>
          <w:rFonts w:eastAsia="Lucida Sans Unicode" w:cstheme="minorHAnsi"/>
          <w:b/>
          <w:sz w:val="24"/>
          <w:szCs w:val="24"/>
          <w:lang w:eastAsia="ar-SA"/>
        </w:rPr>
        <w:lastRenderedPageBreak/>
        <w:t xml:space="preserve">Oświadczenie należy sporządzić i złożyć </w:t>
      </w:r>
      <w:r w:rsidR="003C74A2" w:rsidRPr="00D7773F">
        <w:rPr>
          <w:rFonts w:eastAsia="Lucida Sans Unicode" w:cstheme="minorHAnsi"/>
          <w:b/>
          <w:sz w:val="24"/>
          <w:szCs w:val="24"/>
          <w:lang w:eastAsia="ar-SA"/>
        </w:rPr>
        <w:t xml:space="preserve">w postaci elektronicznej opatrzonej </w:t>
      </w:r>
      <w:r w:rsidR="00E25D69" w:rsidRPr="00D7773F">
        <w:rPr>
          <w:rFonts w:eastAsia="Lucida Sans Unicode" w:cstheme="minorHAnsi"/>
          <w:b/>
          <w:sz w:val="24"/>
          <w:szCs w:val="24"/>
          <w:lang w:eastAsia="ar-SA"/>
        </w:rPr>
        <w:t xml:space="preserve">kwalifikowanym podpisem elektronicznym, </w:t>
      </w:r>
      <w:r w:rsidR="003C74A2" w:rsidRPr="00D7773F">
        <w:rPr>
          <w:rFonts w:eastAsia="Lucida Sans Unicode" w:cstheme="minorHAnsi"/>
          <w:b/>
          <w:sz w:val="24"/>
          <w:szCs w:val="24"/>
          <w:lang w:eastAsia="ar-SA"/>
        </w:rPr>
        <w:t>podpisem zaufanym lub podpisem osobistym przez osobę/y uprawnioną/e do reprezentowania W</w:t>
      </w:r>
      <w:r w:rsidR="00E25D69" w:rsidRPr="00D7773F">
        <w:rPr>
          <w:rFonts w:eastAsia="Lucida Sans Unicode" w:cstheme="minorHAnsi"/>
          <w:b/>
          <w:sz w:val="24"/>
          <w:szCs w:val="24"/>
          <w:lang w:eastAsia="ar-SA"/>
        </w:rPr>
        <w:t>nios</w:t>
      </w:r>
      <w:r w:rsidR="003C74A2" w:rsidRPr="00D7773F">
        <w:rPr>
          <w:rFonts w:eastAsia="Lucida Sans Unicode" w:cstheme="minorHAnsi"/>
          <w:b/>
          <w:sz w:val="24"/>
          <w:szCs w:val="24"/>
          <w:lang w:eastAsia="ar-SA"/>
        </w:rPr>
        <w:t>ko</w:t>
      </w:r>
      <w:r w:rsidR="00E25D69" w:rsidRPr="00D7773F">
        <w:rPr>
          <w:rFonts w:eastAsia="Lucida Sans Unicode" w:cstheme="minorHAnsi"/>
          <w:b/>
          <w:sz w:val="24"/>
          <w:szCs w:val="24"/>
          <w:lang w:eastAsia="ar-SA"/>
        </w:rPr>
        <w:t>d</w:t>
      </w:r>
      <w:r w:rsidR="003C74A2" w:rsidRPr="00D7773F">
        <w:rPr>
          <w:rFonts w:eastAsia="Lucida Sans Unicode" w:cstheme="minorHAnsi"/>
          <w:b/>
          <w:sz w:val="24"/>
          <w:szCs w:val="24"/>
          <w:lang w:eastAsia="ar-SA"/>
        </w:rPr>
        <w:t>awcy.</w:t>
      </w:r>
    </w:p>
    <w:p w14:paraId="42D49553" w14:textId="7DCEEFE5" w:rsidR="00E75AEB" w:rsidRDefault="00E75AEB" w:rsidP="003B4AE1">
      <w:pPr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</w:p>
    <w:p w14:paraId="06D6322F" w14:textId="77777777" w:rsidR="00E75AEB" w:rsidRDefault="00E75AEB" w:rsidP="003B4AE1">
      <w:pPr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</w:p>
    <w:p w14:paraId="0519079D" w14:textId="42EA77E2" w:rsidR="00E75AEB" w:rsidRPr="007B30E2" w:rsidRDefault="00E75AEB" w:rsidP="00E75AEB">
      <w:pPr>
        <w:spacing w:before="600" w:after="0"/>
        <w:rPr>
          <w:rFonts w:cs="Calibri"/>
          <w:sz w:val="24"/>
          <w:szCs w:val="24"/>
        </w:rPr>
      </w:pPr>
      <w:r w:rsidRPr="007B30E2">
        <w:rPr>
          <w:rFonts w:cs="Calibri"/>
          <w:sz w:val="24"/>
          <w:szCs w:val="24"/>
        </w:rPr>
        <w:t>……………………………………………………………</w:t>
      </w:r>
      <w:r>
        <w:rPr>
          <w:rFonts w:cs="Calibri"/>
          <w:sz w:val="24"/>
          <w:szCs w:val="24"/>
        </w:rPr>
        <w:t>………………………………………………….</w:t>
      </w:r>
    </w:p>
    <w:p w14:paraId="2C45B9E6" w14:textId="11EF92C9" w:rsidR="00E75AEB" w:rsidRPr="00E75AEB" w:rsidRDefault="00E75AEB" w:rsidP="00E75AEB">
      <w:pPr>
        <w:spacing w:after="120"/>
        <w:rPr>
          <w:rFonts w:cs="Calibri"/>
          <w:sz w:val="20"/>
          <w:szCs w:val="24"/>
        </w:rPr>
      </w:pPr>
      <w:r w:rsidRPr="00E75AEB">
        <w:rPr>
          <w:rFonts w:cs="Calibri"/>
          <w:sz w:val="20"/>
          <w:szCs w:val="24"/>
        </w:rPr>
        <w:t>(</w:t>
      </w:r>
      <w:r>
        <w:rPr>
          <w:rFonts w:cs="Calibri"/>
          <w:sz w:val="20"/>
          <w:szCs w:val="24"/>
        </w:rPr>
        <w:t xml:space="preserve">Data, czytelny </w:t>
      </w:r>
      <w:r w:rsidRPr="00E75AEB">
        <w:rPr>
          <w:rFonts w:cs="Calibri"/>
          <w:sz w:val="20"/>
          <w:szCs w:val="24"/>
        </w:rPr>
        <w:t>podpis osoby (osób) uprawnionej i pieczęć</w:t>
      </w:r>
      <w:r>
        <w:rPr>
          <w:rFonts w:cs="Calibri"/>
          <w:sz w:val="20"/>
          <w:szCs w:val="24"/>
        </w:rPr>
        <w:t xml:space="preserve"> firmowa</w:t>
      </w:r>
      <w:r w:rsidRPr="00E75AEB">
        <w:rPr>
          <w:rFonts w:cs="Calibri"/>
          <w:sz w:val="20"/>
          <w:szCs w:val="24"/>
        </w:rPr>
        <w:t>)</w:t>
      </w:r>
    </w:p>
    <w:p w14:paraId="48C69398" w14:textId="77777777" w:rsidR="00E75AEB" w:rsidRPr="00D7773F" w:rsidRDefault="00E75AEB" w:rsidP="003B4AE1">
      <w:pPr>
        <w:spacing w:line="276" w:lineRule="auto"/>
        <w:rPr>
          <w:rFonts w:cstheme="minorHAnsi"/>
          <w:sz w:val="24"/>
          <w:szCs w:val="24"/>
        </w:rPr>
      </w:pPr>
    </w:p>
    <w:sectPr w:rsidR="00E75AEB" w:rsidRPr="00D777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F2A1A" w14:textId="77777777" w:rsidR="00011A14" w:rsidRDefault="00011A14" w:rsidP="00326098">
      <w:pPr>
        <w:spacing w:after="0" w:line="240" w:lineRule="auto"/>
      </w:pPr>
      <w:r>
        <w:separator/>
      </w:r>
    </w:p>
  </w:endnote>
  <w:endnote w:type="continuationSeparator" w:id="0">
    <w:p w14:paraId="2BC40F9E" w14:textId="77777777" w:rsidR="00011A14" w:rsidRDefault="00011A14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987379"/>
      <w:docPartObj>
        <w:docPartGallery w:val="Page Numbers (Bottom of Page)"/>
        <w:docPartUnique/>
      </w:docPartObj>
    </w:sdtPr>
    <w:sdtContent>
      <w:p w14:paraId="04B99858" w14:textId="70C857D2" w:rsidR="002F60B2" w:rsidRDefault="002F60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60C9CA" w14:textId="77777777" w:rsidR="002F60B2" w:rsidRDefault="002F60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1F5EA" w14:textId="77777777" w:rsidR="00011A14" w:rsidRDefault="00011A14" w:rsidP="00326098">
      <w:pPr>
        <w:spacing w:after="0" w:line="240" w:lineRule="auto"/>
      </w:pPr>
      <w:r>
        <w:separator/>
      </w:r>
    </w:p>
  </w:footnote>
  <w:footnote w:type="continuationSeparator" w:id="0">
    <w:p w14:paraId="082D4159" w14:textId="77777777" w:rsidR="00011A14" w:rsidRDefault="00011A14" w:rsidP="00326098">
      <w:pPr>
        <w:spacing w:after="0" w:line="240" w:lineRule="auto"/>
      </w:pPr>
      <w:r>
        <w:continuationSeparator/>
      </w:r>
    </w:p>
  </w:footnote>
  <w:footnote w:id="1">
    <w:p w14:paraId="63E2F85C" w14:textId="4E4AAF4F" w:rsidR="00F71B31" w:rsidRPr="003B4AE1" w:rsidRDefault="00F71B31" w:rsidP="00DD0A1C">
      <w:pPr>
        <w:pStyle w:val="Tekstprzypisudolnego"/>
        <w:spacing w:line="276" w:lineRule="auto"/>
        <w:rPr>
          <w:rFonts w:cstheme="minorHAnsi"/>
        </w:rPr>
      </w:pPr>
      <w:r w:rsidRPr="00D2669F">
        <w:rPr>
          <w:rStyle w:val="Odwoanieprzypisudolnego"/>
          <w:rFonts w:cstheme="minorHAnsi"/>
          <w:sz w:val="18"/>
          <w:szCs w:val="18"/>
        </w:rPr>
        <w:footnoteRef/>
      </w:r>
      <w:r w:rsidRPr="00D2669F">
        <w:rPr>
          <w:rFonts w:cstheme="minorHAnsi"/>
          <w:sz w:val="18"/>
          <w:szCs w:val="18"/>
        </w:rPr>
        <w:t xml:space="preserve"> </w:t>
      </w:r>
      <w:hyperlink r:id="rId1" w:history="1">
        <w:r w:rsidR="003B4AE1">
          <w:rPr>
            <w:rStyle w:val="Hipercze"/>
            <w:rFonts w:cstheme="minorHAnsi"/>
          </w:rPr>
          <w:t>Rozporządzenie Rady (WE) nr 765/2006 z dnia 18 maja 2006 r. dotyczące środków ograniczających w związku z sytuacją na Białorusi i udziałem Białorusi w agresji Rosji wobec Ukrainy (Dz. Urz. UE L 134 z 20 maja 2006 r., s.</w:t>
        </w:r>
        <w:r w:rsidR="002F60B2">
          <w:rPr>
            <w:rStyle w:val="Hipercze"/>
            <w:rFonts w:cstheme="minorHAnsi"/>
          </w:rPr>
          <w:t> </w:t>
        </w:r>
        <w:r w:rsidR="003B4AE1">
          <w:rPr>
            <w:rStyle w:val="Hipercze"/>
            <w:rFonts w:cstheme="minorHAnsi"/>
          </w:rPr>
          <w:t xml:space="preserve">1, z </w:t>
        </w:r>
        <w:proofErr w:type="spellStart"/>
        <w:r w:rsidR="003B4AE1">
          <w:rPr>
            <w:rStyle w:val="Hipercze"/>
            <w:rFonts w:cstheme="minorHAnsi"/>
          </w:rPr>
          <w:t>późn</w:t>
        </w:r>
        <w:proofErr w:type="spellEnd"/>
        <w:r w:rsidR="003B4AE1">
          <w:rPr>
            <w:rStyle w:val="Hipercze"/>
            <w:rFonts w:cstheme="minorHAnsi"/>
          </w:rPr>
          <w:t>. zm.).</w:t>
        </w:r>
      </w:hyperlink>
    </w:p>
  </w:footnote>
  <w:footnote w:id="2">
    <w:p w14:paraId="13A55B24" w14:textId="4DA911FF" w:rsidR="00F71B31" w:rsidRPr="003B4AE1" w:rsidRDefault="00F71B31" w:rsidP="00DD0A1C">
      <w:pPr>
        <w:pStyle w:val="Tekstprzypisudolnego"/>
        <w:spacing w:line="276" w:lineRule="auto"/>
        <w:rPr>
          <w:rFonts w:cstheme="minorHAnsi"/>
        </w:rPr>
      </w:pPr>
      <w:r w:rsidRPr="003B4AE1">
        <w:rPr>
          <w:rStyle w:val="Odwoanieprzypisudolnego"/>
          <w:rFonts w:cstheme="minorHAnsi"/>
        </w:rPr>
        <w:footnoteRef/>
      </w:r>
      <w:r w:rsidRPr="003B4AE1">
        <w:rPr>
          <w:rFonts w:cstheme="minorHAnsi"/>
        </w:rPr>
        <w:t xml:space="preserve"> </w:t>
      </w:r>
      <w:hyperlink r:id="rId2" w:history="1">
        <w:r w:rsidRPr="003B4AE1">
          <w:rPr>
            <w:rStyle w:val="Hipercze"/>
            <w:rFonts w:cstheme="minorHAnsi"/>
          </w:rPr>
          <w:t>Rozporządzenie Rady (UE) nr 269/2014 z dnia 17 marca 2014 r. w sprawie środków ograniczających w</w:t>
        </w:r>
        <w:r w:rsidR="002F60B2">
          <w:rPr>
            <w:rStyle w:val="Hipercze"/>
            <w:rFonts w:cstheme="minorHAnsi"/>
          </w:rPr>
          <w:t> </w:t>
        </w:r>
        <w:r w:rsidRPr="003B4AE1">
          <w:rPr>
            <w:rStyle w:val="Hipercze"/>
            <w:rFonts w:cstheme="minorHAnsi"/>
          </w:rPr>
          <w:t>odniesieniu do działań podważających integralność terytorialną, suwerenność i niezależność Ukrainy lub im zagrażających (Dz. Urz. UE L 78 z 17 marca 2014</w:t>
        </w:r>
        <w:r w:rsidR="00B81580" w:rsidRPr="003B4AE1">
          <w:rPr>
            <w:rStyle w:val="Hipercze"/>
            <w:rFonts w:cstheme="minorHAnsi"/>
          </w:rPr>
          <w:t xml:space="preserve"> r.</w:t>
        </w:r>
        <w:r w:rsidRPr="003B4AE1">
          <w:rPr>
            <w:rStyle w:val="Hipercze"/>
            <w:rFonts w:cstheme="minorHAnsi"/>
          </w:rPr>
          <w:t xml:space="preserve">, s. 6, z </w:t>
        </w:r>
        <w:proofErr w:type="spellStart"/>
        <w:r w:rsidRPr="003B4AE1">
          <w:rPr>
            <w:rStyle w:val="Hipercze"/>
            <w:rFonts w:cstheme="minorHAnsi"/>
          </w:rPr>
          <w:t>późn</w:t>
        </w:r>
        <w:proofErr w:type="spellEnd"/>
        <w:r w:rsidRPr="003B4AE1">
          <w:rPr>
            <w:rStyle w:val="Hipercze"/>
            <w:rFonts w:cstheme="minorHAnsi"/>
          </w:rPr>
          <w:t>. zm.)</w:t>
        </w:r>
        <w:r w:rsidR="003B4AE1" w:rsidRPr="003B4AE1">
          <w:rPr>
            <w:rStyle w:val="Hipercze"/>
            <w:rFonts w:cstheme="minorHAnsi"/>
          </w:rPr>
          <w:t>.</w:t>
        </w:r>
      </w:hyperlink>
    </w:p>
  </w:footnote>
  <w:footnote w:id="3">
    <w:p w14:paraId="7BFB1625" w14:textId="7CE30CA9" w:rsidR="00FF5A20" w:rsidRPr="003B4AE1" w:rsidRDefault="00FF5A20" w:rsidP="00DD0A1C">
      <w:pPr>
        <w:pStyle w:val="Tekstprzypisudolnego"/>
        <w:spacing w:line="276" w:lineRule="auto"/>
        <w:rPr>
          <w:rFonts w:cstheme="minorHAnsi"/>
        </w:rPr>
      </w:pPr>
      <w:r w:rsidRPr="003B4AE1">
        <w:rPr>
          <w:rStyle w:val="Odwoanieprzypisudolnego"/>
          <w:rFonts w:cstheme="minorHAnsi"/>
        </w:rPr>
        <w:footnoteRef/>
      </w:r>
      <w:r w:rsidRPr="003B4AE1">
        <w:rPr>
          <w:rFonts w:cstheme="minorHAnsi"/>
        </w:rPr>
        <w:t xml:space="preserve"> </w:t>
      </w:r>
      <w:hyperlink r:id="rId3" w:history="1">
        <w:r w:rsidRPr="003B4AE1">
          <w:rPr>
            <w:rStyle w:val="Hipercze"/>
            <w:rFonts w:cstheme="minorHAnsi"/>
            <w:bCs/>
          </w:rPr>
          <w:t xml:space="preserve">Rozporządzenie Rady (UE) nr 208/2014 z dnia 5 marca 2014 r. </w:t>
        </w:r>
        <w:r w:rsidRPr="003B4AE1">
          <w:rPr>
            <w:rStyle w:val="Hipercze"/>
            <w:rFonts w:cstheme="minorHAnsi"/>
          </w:rPr>
          <w:t>w sprawie środków ograniczających skierowanych przeciwko niektórym osobom, podmiotom i organom w związku z sytuacją na Ukrainie (Dz. Urz. UE L 66 z 6 marca 2014 r., s.</w:t>
        </w:r>
        <w:r w:rsidR="00BD691E" w:rsidRPr="003B4AE1">
          <w:rPr>
            <w:rStyle w:val="Hipercze"/>
            <w:rFonts w:cstheme="minorHAnsi"/>
          </w:rPr>
          <w:t> </w:t>
        </w:r>
        <w:r w:rsidRPr="003B4AE1">
          <w:rPr>
            <w:rStyle w:val="Hipercze"/>
            <w:rFonts w:cstheme="minorHAnsi"/>
          </w:rPr>
          <w:t>1, z</w:t>
        </w:r>
        <w:r w:rsidR="007B0180" w:rsidRPr="003B4AE1">
          <w:rPr>
            <w:rStyle w:val="Hipercze"/>
            <w:rFonts w:cstheme="minorHAnsi"/>
          </w:rPr>
          <w:t> </w:t>
        </w:r>
        <w:proofErr w:type="spellStart"/>
        <w:r w:rsidRPr="003B4AE1">
          <w:rPr>
            <w:rStyle w:val="Hipercze"/>
            <w:rFonts w:cstheme="minorHAnsi"/>
          </w:rPr>
          <w:t>późn</w:t>
        </w:r>
        <w:proofErr w:type="spellEnd"/>
        <w:r w:rsidRPr="003B4AE1">
          <w:rPr>
            <w:rStyle w:val="Hipercze"/>
            <w:rFonts w:cstheme="minorHAnsi"/>
          </w:rPr>
          <w:t>.</w:t>
        </w:r>
        <w:r w:rsidR="007B0180" w:rsidRPr="003B4AE1">
          <w:rPr>
            <w:rStyle w:val="Hipercze"/>
            <w:rFonts w:cstheme="minorHAnsi"/>
          </w:rPr>
          <w:t> </w:t>
        </w:r>
        <w:r w:rsidRPr="003B4AE1">
          <w:rPr>
            <w:rStyle w:val="Hipercze"/>
            <w:rFonts w:cstheme="minorHAnsi"/>
          </w:rPr>
          <w:t>zm.)</w:t>
        </w:r>
        <w:r w:rsidR="003B4AE1" w:rsidRPr="003B4AE1">
          <w:rPr>
            <w:rStyle w:val="Hipercze"/>
            <w:rFonts w:cstheme="minorHAnsi"/>
          </w:rPr>
          <w:t>.</w:t>
        </w:r>
      </w:hyperlink>
    </w:p>
  </w:footnote>
  <w:footnote w:id="4">
    <w:p w14:paraId="4AC8BEA1" w14:textId="4C181F65" w:rsidR="00983C95" w:rsidRPr="003B4AE1" w:rsidRDefault="00983C95" w:rsidP="00DD0A1C">
      <w:pPr>
        <w:pStyle w:val="Tekstprzypisudolnego"/>
        <w:spacing w:line="276" w:lineRule="auto"/>
        <w:rPr>
          <w:rFonts w:cstheme="minorHAnsi"/>
        </w:rPr>
      </w:pPr>
      <w:r w:rsidRPr="003B4AE1">
        <w:rPr>
          <w:rStyle w:val="Odwoanieprzypisudolnego"/>
          <w:rFonts w:cstheme="minorHAnsi"/>
        </w:rPr>
        <w:footnoteRef/>
      </w:r>
      <w:r w:rsidRPr="003B4AE1">
        <w:rPr>
          <w:rFonts w:cstheme="minorHAnsi"/>
        </w:rPr>
        <w:t xml:space="preserve"> </w:t>
      </w:r>
      <w:hyperlink r:id="rId4" w:history="1">
        <w:r w:rsidRPr="00D7773F">
          <w:rPr>
            <w:rStyle w:val="Hipercze"/>
            <w:rFonts w:cstheme="minorHAnsi"/>
            <w:bCs/>
          </w:rPr>
          <w:t>Decyzja Rady 2014/145/</w:t>
        </w:r>
        <w:proofErr w:type="spellStart"/>
        <w:r w:rsidRPr="00D7773F">
          <w:rPr>
            <w:rStyle w:val="Hipercze"/>
            <w:rFonts w:cstheme="minorHAnsi"/>
            <w:bCs/>
          </w:rPr>
          <w:t>WPZiB</w:t>
        </w:r>
        <w:proofErr w:type="spellEnd"/>
        <w:r w:rsidRPr="00D7773F">
          <w:rPr>
            <w:rStyle w:val="Hipercze"/>
            <w:rFonts w:cstheme="minorHAnsi"/>
            <w:bCs/>
          </w:rPr>
          <w:t xml:space="preserve"> z dnia 17 marca 2014 r. </w:t>
        </w:r>
        <w:r w:rsidR="004277BB" w:rsidRPr="00D7773F">
          <w:rPr>
            <w:rStyle w:val="Hipercze"/>
            <w:rFonts w:cstheme="minorHAnsi"/>
          </w:rPr>
          <w:t>w sprawie środków ograniczających w związku z</w:t>
        </w:r>
        <w:r w:rsidR="002F60B2">
          <w:rPr>
            <w:rStyle w:val="Hipercze"/>
            <w:rFonts w:cstheme="minorHAnsi"/>
          </w:rPr>
          <w:t> </w:t>
        </w:r>
        <w:r w:rsidR="004277BB" w:rsidRPr="00D7773F">
          <w:rPr>
            <w:rStyle w:val="Hipercze"/>
            <w:rFonts w:cstheme="minorHAnsi"/>
          </w:rPr>
          <w:t>działaniami podważającymi integralność terytorialną, suwerenność i niezależność Ukrainy lub im zagrażającymi</w:t>
        </w:r>
        <w:r w:rsidRPr="00D7773F">
          <w:rPr>
            <w:rStyle w:val="Hipercze"/>
            <w:rFonts w:cstheme="minorHAnsi"/>
          </w:rPr>
          <w:t xml:space="preserve"> (Dz. Urz. UE L 78 z 17 marca 2014 r., s. 16, z </w:t>
        </w:r>
        <w:proofErr w:type="spellStart"/>
        <w:r w:rsidRPr="00D7773F">
          <w:rPr>
            <w:rStyle w:val="Hipercze"/>
            <w:rFonts w:cstheme="minorHAnsi"/>
          </w:rPr>
          <w:t>późn</w:t>
        </w:r>
        <w:proofErr w:type="spellEnd"/>
        <w:r w:rsidRPr="00D7773F">
          <w:rPr>
            <w:rStyle w:val="Hipercze"/>
            <w:rFonts w:cstheme="minorHAnsi"/>
          </w:rPr>
          <w:t>. zm.)</w:t>
        </w:r>
        <w:r w:rsidR="00D7773F" w:rsidRPr="00D7773F">
          <w:rPr>
            <w:rStyle w:val="Hipercze"/>
            <w:rFonts w:cstheme="minorHAnsi"/>
          </w:rPr>
          <w:t>.</w:t>
        </w:r>
      </w:hyperlink>
    </w:p>
  </w:footnote>
  <w:footnote w:id="5">
    <w:p w14:paraId="075F7171" w14:textId="16C17217" w:rsidR="003A0C91" w:rsidRPr="003B4AE1" w:rsidRDefault="003A0C91" w:rsidP="00DD0A1C">
      <w:pPr>
        <w:pStyle w:val="Tekstprzypisudolnego"/>
        <w:spacing w:line="276" w:lineRule="auto"/>
        <w:rPr>
          <w:rFonts w:cstheme="minorHAnsi"/>
        </w:rPr>
      </w:pPr>
      <w:r w:rsidRPr="003B4AE1">
        <w:rPr>
          <w:rStyle w:val="Odwoanieprzypisudolnego"/>
          <w:rFonts w:cstheme="minorHAnsi"/>
        </w:rPr>
        <w:footnoteRef/>
      </w:r>
      <w:r w:rsidRPr="003B4AE1">
        <w:rPr>
          <w:rFonts w:cstheme="minorHAnsi"/>
        </w:rPr>
        <w:t xml:space="preserve"> </w:t>
      </w:r>
      <w:hyperlink r:id="rId5" w:history="1">
        <w:r w:rsidRPr="00D7773F">
          <w:rPr>
            <w:rStyle w:val="Hipercze"/>
            <w:rFonts w:eastAsia="Lucida Sans Unicode" w:cstheme="minorHAnsi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D7773F">
          <w:rPr>
            <w:rStyle w:val="Hipercze"/>
            <w:rFonts w:eastAsia="Lucida Sans Unicode" w:cstheme="minorHAnsi"/>
            <w:lang w:eastAsia="ar-SA"/>
          </w:rPr>
          <w:t>.</w:t>
        </w:r>
      </w:hyperlink>
    </w:p>
  </w:footnote>
  <w:footnote w:id="6">
    <w:p w14:paraId="6E19FF7A" w14:textId="330DF5A0" w:rsidR="004277BB" w:rsidRPr="00D2669F" w:rsidRDefault="004277BB" w:rsidP="00DD0A1C">
      <w:pPr>
        <w:pStyle w:val="Tekstprzypisudolnego"/>
        <w:spacing w:line="276" w:lineRule="auto"/>
        <w:rPr>
          <w:rFonts w:cstheme="minorHAnsi"/>
          <w:sz w:val="18"/>
          <w:szCs w:val="18"/>
        </w:rPr>
      </w:pPr>
      <w:r w:rsidRPr="003B4AE1">
        <w:rPr>
          <w:rStyle w:val="Odwoanieprzypisudolnego"/>
          <w:rFonts w:cstheme="minorHAnsi"/>
        </w:rPr>
        <w:footnoteRef/>
      </w:r>
      <w:r w:rsidRPr="003B4AE1">
        <w:rPr>
          <w:rFonts w:cstheme="minorHAnsi"/>
        </w:rPr>
        <w:t xml:space="preserve"> </w:t>
      </w:r>
      <w:hyperlink r:id="rId6" w:history="1">
        <w:r w:rsidRPr="00D7773F">
          <w:rPr>
            <w:rStyle w:val="Hipercze"/>
            <w:rFonts w:cstheme="minorHAnsi"/>
          </w:rPr>
          <w:t>Rozporządzenie Rady (UE) nr 833/2014 z dnia 31 lipca 2014 r. dotyczące środków ograniczających w związku z</w:t>
        </w:r>
        <w:r w:rsidR="00BD691E" w:rsidRPr="00D7773F">
          <w:rPr>
            <w:rStyle w:val="Hipercze"/>
            <w:rFonts w:cstheme="minorHAnsi"/>
          </w:rPr>
          <w:t> </w:t>
        </w:r>
        <w:r w:rsidRPr="00D7773F">
          <w:rPr>
            <w:rStyle w:val="Hipercze"/>
            <w:rFonts w:cstheme="minorHAnsi"/>
          </w:rPr>
          <w:t xml:space="preserve">działaniami Rosji destabilizującymi sytuację na Ukrainie (Dz. Urz. UE L 229 z 31 lipca 2014 r., s. 1, z </w:t>
        </w:r>
        <w:proofErr w:type="spellStart"/>
        <w:r w:rsidRPr="00D7773F">
          <w:rPr>
            <w:rStyle w:val="Hipercze"/>
            <w:rFonts w:cstheme="minorHAnsi"/>
          </w:rPr>
          <w:t>późn</w:t>
        </w:r>
        <w:proofErr w:type="spellEnd"/>
        <w:r w:rsidRPr="00D7773F">
          <w:rPr>
            <w:rStyle w:val="Hipercze"/>
            <w:rFonts w:cstheme="minorHAnsi"/>
          </w:rPr>
          <w:t>. zm.)</w:t>
        </w:r>
        <w:r w:rsidR="00D7773F" w:rsidRPr="00D7773F">
          <w:rPr>
            <w:rStyle w:val="Hipercze"/>
            <w:rFonts w:cstheme="minorHAnsi"/>
          </w:rPr>
          <w:t>.</w:t>
        </w:r>
      </w:hyperlink>
      <w:r w:rsidR="00D7773F">
        <w:rPr>
          <w:rFonts w:cstheme="minorHAnsi"/>
        </w:rPr>
        <w:t xml:space="preserve"> </w:t>
      </w:r>
    </w:p>
  </w:footnote>
  <w:footnote w:id="7">
    <w:p w14:paraId="4743795B" w14:textId="546090AC" w:rsidR="00A631B3" w:rsidRPr="003B4AE1" w:rsidRDefault="00A631B3" w:rsidP="00782F3D">
      <w:pPr>
        <w:pStyle w:val="Tekstprzypisudolnego"/>
        <w:spacing w:after="60" w:line="276" w:lineRule="auto"/>
        <w:rPr>
          <w:rFonts w:cstheme="minorHAnsi"/>
        </w:rPr>
      </w:pPr>
      <w:r w:rsidRPr="003B4AE1">
        <w:rPr>
          <w:rStyle w:val="Odwoanieprzypisudolnego"/>
          <w:rFonts w:cstheme="minorHAnsi"/>
        </w:rPr>
        <w:footnoteRef/>
      </w:r>
      <w:r w:rsidRPr="003B4AE1">
        <w:rPr>
          <w:rFonts w:cstheme="minorHAnsi"/>
        </w:rPr>
        <w:t xml:space="preserve"> </w:t>
      </w:r>
      <w:hyperlink r:id="rId7" w:history="1">
        <w:r w:rsidRPr="00D7773F">
          <w:rPr>
            <w:rStyle w:val="Hipercze"/>
            <w:rFonts w:cstheme="minorHAnsi"/>
            <w:bCs/>
          </w:rPr>
          <w:t xml:space="preserve">Rozporządzenie Rady (UE) 2022/263 z dnia 23 lutego 2022 r. </w:t>
        </w:r>
        <w:r w:rsidRPr="00D7773F">
          <w:rPr>
            <w:rStyle w:val="Hipercze"/>
            <w:rFonts w:cstheme="minorHAnsi"/>
          </w:rPr>
          <w:t>w sprawie środków ograniczających w odpowiedzi na uznanie niekontrolowanych przez rząd obszarów ukraińskich obwodów donieckiego i </w:t>
        </w:r>
        <w:proofErr w:type="spellStart"/>
        <w:r w:rsidRPr="00D7773F">
          <w:rPr>
            <w:rStyle w:val="Hipercze"/>
            <w:rFonts w:cstheme="minorHAnsi"/>
          </w:rPr>
          <w:t>ługańskiego</w:t>
        </w:r>
        <w:proofErr w:type="spellEnd"/>
        <w:r w:rsidRPr="00D7773F">
          <w:rPr>
            <w:rStyle w:val="Hipercze"/>
            <w:rFonts w:cstheme="minorHAnsi"/>
          </w:rPr>
          <w:t xml:space="preserve"> oraz nakazanie rozmieszczenia rosyjskich sił zbrojnych na tych obszarach (Dz. Urz. UE L 42I z</w:t>
        </w:r>
        <w:r w:rsidR="002F60B2">
          <w:rPr>
            <w:rStyle w:val="Hipercze"/>
            <w:rFonts w:cstheme="minorHAnsi"/>
          </w:rPr>
          <w:t> </w:t>
        </w:r>
        <w:r w:rsidRPr="00D7773F">
          <w:rPr>
            <w:rStyle w:val="Hipercze"/>
            <w:rFonts w:cstheme="minorHAnsi"/>
          </w:rPr>
          <w:t>23</w:t>
        </w:r>
        <w:r w:rsidR="002F60B2">
          <w:rPr>
            <w:rStyle w:val="Hipercze"/>
            <w:rFonts w:cstheme="minorHAnsi"/>
          </w:rPr>
          <w:t> </w:t>
        </w:r>
        <w:bookmarkStart w:id="0" w:name="_GoBack"/>
        <w:bookmarkEnd w:id="0"/>
        <w:r w:rsidRPr="00D7773F">
          <w:rPr>
            <w:rStyle w:val="Hipercze"/>
            <w:rFonts w:cstheme="minorHAnsi"/>
          </w:rPr>
          <w:t xml:space="preserve">lutego 2022 r., s. 77, z </w:t>
        </w:r>
        <w:proofErr w:type="spellStart"/>
        <w:r w:rsidRPr="00D7773F">
          <w:rPr>
            <w:rStyle w:val="Hipercze"/>
            <w:rFonts w:cstheme="minorHAnsi"/>
          </w:rPr>
          <w:t>późn</w:t>
        </w:r>
        <w:proofErr w:type="spellEnd"/>
        <w:r w:rsidRPr="00D7773F">
          <w:rPr>
            <w:rStyle w:val="Hipercze"/>
            <w:rFonts w:cstheme="minorHAnsi"/>
          </w:rPr>
          <w:t>. zm.)</w:t>
        </w:r>
        <w:r w:rsidR="00D7773F" w:rsidRPr="00D7773F">
          <w:rPr>
            <w:rStyle w:val="Hipercze"/>
            <w:rFonts w:cstheme="minorHAnsi"/>
          </w:rPr>
          <w:t>.</w:t>
        </w:r>
      </w:hyperlink>
    </w:p>
  </w:footnote>
  <w:footnote w:id="8">
    <w:p w14:paraId="172A6EDA" w14:textId="41135835" w:rsidR="005D78B7" w:rsidRPr="003B4AE1" w:rsidRDefault="005D78B7" w:rsidP="00782F3D">
      <w:pPr>
        <w:pStyle w:val="Tekstprzypisudolnego"/>
        <w:spacing w:after="60" w:line="276" w:lineRule="auto"/>
        <w:rPr>
          <w:rFonts w:cstheme="minorHAnsi"/>
        </w:rPr>
      </w:pPr>
      <w:r w:rsidRPr="003B4AE1">
        <w:rPr>
          <w:rStyle w:val="Odwoanieprzypisudolnego"/>
          <w:rFonts w:cstheme="minorHAnsi"/>
        </w:rPr>
        <w:footnoteRef/>
      </w:r>
      <w:r w:rsidRPr="003B4AE1">
        <w:rPr>
          <w:rFonts w:cstheme="minorHAnsi"/>
        </w:rPr>
        <w:t xml:space="preserve"> </w:t>
      </w:r>
      <w:hyperlink r:id="rId8" w:history="1">
        <w:r w:rsidRPr="00D7773F">
          <w:rPr>
            <w:rStyle w:val="Hipercze"/>
            <w:rFonts w:cstheme="minorHAnsi"/>
            <w:bCs/>
          </w:rPr>
          <w:t xml:space="preserve">Rozporządzenie Rady (UE) nr 692/2014 z dnia 23 czerwca 2014 r. </w:t>
        </w:r>
        <w:r w:rsidRPr="00D7773F">
          <w:rPr>
            <w:rStyle w:val="Hipercze"/>
            <w:rFonts w:cstheme="minorHAnsi"/>
          </w:rPr>
          <w:t>w sprawie środków ograniczających w odpowiedzi na bezprawne przyłączenie Krymu i Sewastopola (Dz. Urz. UE L 183 z 24 czerwca 2014 r., s. 9, z</w:t>
        </w:r>
        <w:r w:rsidR="002F60B2">
          <w:rPr>
            <w:rStyle w:val="Hipercze"/>
            <w:rFonts w:cstheme="minorHAnsi"/>
          </w:rPr>
          <w:t> </w:t>
        </w:r>
        <w:proofErr w:type="spellStart"/>
        <w:r w:rsidRPr="00D7773F">
          <w:rPr>
            <w:rStyle w:val="Hipercze"/>
            <w:rFonts w:cstheme="minorHAnsi"/>
          </w:rPr>
          <w:t>późn</w:t>
        </w:r>
        <w:proofErr w:type="spellEnd"/>
        <w:r w:rsidRPr="00D7773F">
          <w:rPr>
            <w:rStyle w:val="Hipercze"/>
            <w:rFonts w:cstheme="minorHAnsi"/>
          </w:rPr>
          <w:t>. zm.)</w:t>
        </w:r>
        <w:r w:rsidR="00D7773F" w:rsidRPr="00D7773F">
          <w:rPr>
            <w:rStyle w:val="Hipercze"/>
            <w:rFonts w:cstheme="minorHAnsi"/>
          </w:rPr>
          <w:t>.</w:t>
        </w:r>
      </w:hyperlink>
    </w:p>
  </w:footnote>
  <w:footnote w:id="9">
    <w:p w14:paraId="77EC8578" w14:textId="72767FC5" w:rsidR="006465DF" w:rsidRPr="003B4AE1" w:rsidRDefault="006465DF" w:rsidP="00782F3D">
      <w:pPr>
        <w:pStyle w:val="Tekstprzypisudolnego"/>
        <w:spacing w:after="60" w:line="276" w:lineRule="auto"/>
        <w:rPr>
          <w:rFonts w:cstheme="minorHAnsi"/>
        </w:rPr>
      </w:pPr>
      <w:r w:rsidRPr="003B4AE1">
        <w:rPr>
          <w:rStyle w:val="Odwoanieprzypisudolnego"/>
          <w:rFonts w:cstheme="minorHAnsi"/>
        </w:rPr>
        <w:footnoteRef/>
      </w:r>
      <w:r w:rsidRPr="003B4AE1">
        <w:rPr>
          <w:rFonts w:cstheme="minorHAnsi"/>
        </w:rPr>
        <w:t xml:space="preserve"> </w:t>
      </w:r>
      <w:hyperlink r:id="rId9" w:history="1">
        <w:r w:rsidRPr="00D7773F">
          <w:rPr>
            <w:rStyle w:val="Hipercze"/>
            <w:rFonts w:cstheme="minorHAnsi"/>
            <w:bCs/>
          </w:rPr>
          <w:t>Decyzja Rady (</w:t>
        </w:r>
        <w:proofErr w:type="spellStart"/>
        <w:r w:rsidRPr="00D7773F">
          <w:rPr>
            <w:rStyle w:val="Hipercze"/>
            <w:rFonts w:cstheme="minorHAnsi"/>
            <w:bCs/>
          </w:rPr>
          <w:t>WPZiB</w:t>
        </w:r>
        <w:proofErr w:type="spellEnd"/>
        <w:r w:rsidRPr="00D7773F">
          <w:rPr>
            <w:rStyle w:val="Hipercze"/>
            <w:rFonts w:cstheme="minorHAnsi"/>
            <w:bCs/>
          </w:rPr>
          <w:t xml:space="preserve">) 2022/266 z dnia 23 lutego 2022 r. </w:t>
        </w:r>
        <w:r w:rsidRPr="00D7773F">
          <w:rPr>
            <w:rStyle w:val="Hipercze"/>
            <w:rFonts w:cstheme="minorHAnsi"/>
          </w:rPr>
          <w:t>w sprawie środków ograniczających w odpowiedzi na uznanie niekontrolowanych przez rząd obszarów ukraińskich obwodów donieckiego i </w:t>
        </w:r>
        <w:proofErr w:type="spellStart"/>
        <w:r w:rsidRPr="00D7773F">
          <w:rPr>
            <w:rStyle w:val="Hipercze"/>
            <w:rFonts w:cstheme="minorHAnsi"/>
          </w:rPr>
          <w:t>ługańskiego</w:t>
        </w:r>
        <w:proofErr w:type="spellEnd"/>
        <w:r w:rsidRPr="00D7773F">
          <w:rPr>
            <w:rStyle w:val="Hipercze"/>
            <w:rFonts w:cstheme="minorHAnsi"/>
          </w:rPr>
          <w:t xml:space="preserve"> oraz nakazanie rozmieszczenia rosyjskich sił zbrojnych na tych obszarach (Dz. Urz. UE L 42 z 23 lutego 2022 r., s. 109, z </w:t>
        </w:r>
        <w:proofErr w:type="spellStart"/>
        <w:r w:rsidRPr="00D7773F">
          <w:rPr>
            <w:rStyle w:val="Hipercze"/>
            <w:rFonts w:cstheme="minorHAnsi"/>
          </w:rPr>
          <w:t>późn</w:t>
        </w:r>
        <w:proofErr w:type="spellEnd"/>
        <w:r w:rsidRPr="00D7773F">
          <w:rPr>
            <w:rStyle w:val="Hipercze"/>
            <w:rFonts w:cstheme="minorHAnsi"/>
          </w:rPr>
          <w:t>. zm.)</w:t>
        </w:r>
        <w:r w:rsidR="00D7773F" w:rsidRPr="00D7773F">
          <w:rPr>
            <w:rStyle w:val="Hipercze"/>
            <w:rFonts w:cstheme="minorHAnsi"/>
          </w:rPr>
          <w:t>.</w:t>
        </w:r>
      </w:hyperlink>
      <w:r w:rsidR="00D7773F">
        <w:rPr>
          <w:rFonts w:cstheme="minorHAnsi"/>
        </w:rPr>
        <w:t xml:space="preserve"> </w:t>
      </w:r>
    </w:p>
  </w:footnote>
  <w:footnote w:id="10">
    <w:p w14:paraId="66337477" w14:textId="1E9E96E2" w:rsidR="005411C0" w:rsidRPr="003B4AE1" w:rsidRDefault="005411C0" w:rsidP="00782F3D">
      <w:pPr>
        <w:pStyle w:val="Tekstprzypisudolnego"/>
        <w:spacing w:after="60" w:line="276" w:lineRule="auto"/>
        <w:rPr>
          <w:rFonts w:cstheme="minorHAnsi"/>
        </w:rPr>
      </w:pPr>
      <w:r w:rsidRPr="003B4AE1">
        <w:rPr>
          <w:rStyle w:val="Odwoanieprzypisudolnego"/>
          <w:rFonts w:cstheme="minorHAnsi"/>
        </w:rPr>
        <w:footnoteRef/>
      </w:r>
      <w:r w:rsidRPr="003B4AE1">
        <w:rPr>
          <w:rFonts w:cstheme="minorHAnsi"/>
        </w:rPr>
        <w:t xml:space="preserve"> </w:t>
      </w:r>
      <w:hyperlink r:id="rId10" w:history="1">
        <w:r w:rsidRPr="00D7773F">
          <w:rPr>
            <w:rStyle w:val="Hipercze"/>
            <w:rFonts w:cstheme="minorHAnsi"/>
            <w:bCs/>
          </w:rPr>
          <w:t>Decyzja Rady 2014/512/</w:t>
        </w:r>
        <w:proofErr w:type="spellStart"/>
        <w:r w:rsidRPr="00D7773F">
          <w:rPr>
            <w:rStyle w:val="Hipercze"/>
            <w:rFonts w:cstheme="minorHAnsi"/>
            <w:bCs/>
          </w:rPr>
          <w:t>WPZiB</w:t>
        </w:r>
        <w:proofErr w:type="spellEnd"/>
        <w:r w:rsidRPr="00D7773F">
          <w:rPr>
            <w:rStyle w:val="Hipercze"/>
            <w:rFonts w:cstheme="minorHAnsi"/>
            <w:bCs/>
          </w:rPr>
          <w:t xml:space="preserve"> z dnia 31 lipca 2014 r. </w:t>
        </w:r>
        <w:r w:rsidRPr="00D7773F">
          <w:rPr>
            <w:rStyle w:val="Hipercze"/>
            <w:rFonts w:cstheme="minorHAnsi"/>
          </w:rPr>
          <w:t>dotycząca środków ograniczających w związku z działaniami Rosji destabilizującymi sytuację na Ukrainie (Dz. U</w:t>
        </w:r>
        <w:r w:rsidR="00CC3BA9" w:rsidRPr="00D7773F">
          <w:rPr>
            <w:rStyle w:val="Hipercze"/>
            <w:rFonts w:cstheme="minorHAnsi"/>
          </w:rPr>
          <w:t>rz</w:t>
        </w:r>
        <w:r w:rsidRPr="00D7773F">
          <w:rPr>
            <w:rStyle w:val="Hipercze"/>
            <w:rFonts w:cstheme="minorHAnsi"/>
          </w:rPr>
          <w:t>.</w:t>
        </w:r>
        <w:r w:rsidR="00CC3BA9" w:rsidRPr="00D7773F">
          <w:rPr>
            <w:rStyle w:val="Hipercze"/>
            <w:rFonts w:cstheme="minorHAnsi"/>
          </w:rPr>
          <w:t xml:space="preserve"> UE</w:t>
        </w:r>
        <w:r w:rsidRPr="00D7773F">
          <w:rPr>
            <w:rStyle w:val="Hipercze"/>
            <w:rFonts w:cstheme="minorHAnsi"/>
          </w:rPr>
          <w:t xml:space="preserve"> L 229 z 31 lipca 2014 r., s. 13, z </w:t>
        </w:r>
        <w:proofErr w:type="spellStart"/>
        <w:r w:rsidRPr="00D7773F">
          <w:rPr>
            <w:rStyle w:val="Hipercze"/>
            <w:rFonts w:cstheme="minorHAnsi"/>
          </w:rPr>
          <w:t>późn</w:t>
        </w:r>
        <w:proofErr w:type="spellEnd"/>
        <w:r w:rsidRPr="00D7773F">
          <w:rPr>
            <w:rStyle w:val="Hipercze"/>
            <w:rFonts w:cstheme="minorHAnsi"/>
          </w:rPr>
          <w:t>. zm.)</w:t>
        </w:r>
        <w:r w:rsidR="00D7773F" w:rsidRPr="00D7773F">
          <w:rPr>
            <w:rStyle w:val="Hipercze"/>
            <w:rFonts w:cstheme="minorHAnsi"/>
          </w:rPr>
          <w:t>.</w:t>
        </w:r>
      </w:hyperlink>
      <w:r w:rsidR="00E75AEB">
        <w:rPr>
          <w:rStyle w:val="Hipercze"/>
          <w:rFonts w:cstheme="minorHAnsi"/>
        </w:rPr>
        <w:t xml:space="preserve"> </w:t>
      </w:r>
      <w:r w:rsidR="00E75AEB" w:rsidRPr="00E75AEB">
        <w:rPr>
          <w:rFonts w:cstheme="minorHAnsi"/>
        </w:rPr>
        <w:t>Artykuł 9</w:t>
      </w:r>
      <w:r w:rsidR="00E75AEB">
        <w:rPr>
          <w:rFonts w:cstheme="minorHAnsi"/>
        </w:rPr>
        <w:t xml:space="preserve">. </w:t>
      </w:r>
      <w:r w:rsidR="00E75AEB" w:rsidRPr="00E75AEB">
        <w:rPr>
          <w:rFonts w:cstheme="minorHAnsi"/>
        </w:rPr>
        <w:t>1. Niniejszą decyzję stosuje się do dnia 31 lipca 2022 r.</w:t>
      </w:r>
      <w:r w:rsidR="00E75AEB">
        <w:rPr>
          <w:rFonts w:cstheme="minorHAnsi"/>
        </w:rPr>
        <w:t xml:space="preserve"> </w:t>
      </w:r>
      <w:r w:rsidR="00E75AEB" w:rsidRPr="00E75AEB">
        <w:rPr>
          <w:rFonts w:cstheme="minorHAnsi"/>
        </w:rPr>
        <w:t>2. Niniejsza decyzja jest przedmiotem stałego przeglądu. Okres jej obowiązywania zostanie przedłużony lub zostanie ona odpowiednio zmieniona, jeżeli Rada uzna, że cele niniejszej decyzji nie zostały osiągnięte.</w:t>
      </w:r>
    </w:p>
  </w:footnote>
  <w:footnote w:id="11">
    <w:p w14:paraId="3E93C6C5" w14:textId="47F0B52B" w:rsidR="008E4E74" w:rsidRPr="003B4AE1" w:rsidRDefault="008E4E74" w:rsidP="00782F3D">
      <w:pPr>
        <w:pStyle w:val="Tekstprzypisudolnego"/>
        <w:spacing w:after="60" w:line="276" w:lineRule="auto"/>
        <w:rPr>
          <w:rFonts w:cstheme="minorHAnsi"/>
        </w:rPr>
      </w:pPr>
      <w:r w:rsidRPr="003B4AE1">
        <w:rPr>
          <w:rStyle w:val="Odwoanieprzypisudolnego"/>
          <w:rFonts w:cstheme="minorHAnsi"/>
        </w:rPr>
        <w:footnoteRef/>
      </w:r>
      <w:r w:rsidRPr="003B4AE1">
        <w:rPr>
          <w:rFonts w:cstheme="minorHAnsi"/>
        </w:rPr>
        <w:t xml:space="preserve"> </w:t>
      </w:r>
      <w:hyperlink r:id="rId11" w:history="1">
        <w:r w:rsidR="00CC3BA9" w:rsidRPr="00D7773F">
          <w:rPr>
            <w:rStyle w:val="Hipercze"/>
            <w:rFonts w:cstheme="minorHAnsi"/>
            <w:bCs/>
          </w:rPr>
          <w:t xml:space="preserve">Decyzja Rady </w:t>
        </w:r>
        <w:r w:rsidRPr="00D7773F">
          <w:rPr>
            <w:rStyle w:val="Hipercze"/>
            <w:rFonts w:cstheme="minorHAnsi"/>
            <w:bCs/>
          </w:rPr>
          <w:t>2012/642/</w:t>
        </w:r>
        <w:proofErr w:type="spellStart"/>
        <w:r w:rsidRPr="00D7773F">
          <w:rPr>
            <w:rStyle w:val="Hipercze"/>
            <w:rFonts w:cstheme="minorHAnsi"/>
            <w:bCs/>
          </w:rPr>
          <w:t>WPZiB</w:t>
        </w:r>
        <w:proofErr w:type="spellEnd"/>
        <w:r w:rsidRPr="00D7773F">
          <w:rPr>
            <w:rStyle w:val="Hipercze"/>
            <w:rFonts w:cstheme="minorHAnsi"/>
            <w:bCs/>
          </w:rPr>
          <w:t xml:space="preserve"> z dnia 15 października 2012 r. </w:t>
        </w:r>
        <w:r w:rsidRPr="00D7773F">
          <w:rPr>
            <w:rStyle w:val="Hipercze"/>
            <w:rFonts w:cstheme="minorHAnsi"/>
          </w:rPr>
          <w:t>dotycząca środków ograniczających w związku z sytuacją na Białorusi i udziałem Białorusi w agresji Rosji wobec Ukrainy (Dz. Urz. UE L 285 z 17</w:t>
        </w:r>
        <w:r w:rsidR="00CC3BA9" w:rsidRPr="00D7773F">
          <w:rPr>
            <w:rStyle w:val="Hipercze"/>
            <w:rFonts w:cstheme="minorHAnsi"/>
          </w:rPr>
          <w:t xml:space="preserve"> października </w:t>
        </w:r>
        <w:r w:rsidRPr="00D7773F">
          <w:rPr>
            <w:rStyle w:val="Hipercze"/>
            <w:rFonts w:cstheme="minorHAnsi"/>
          </w:rPr>
          <w:t>2012</w:t>
        </w:r>
        <w:r w:rsidR="00CC3BA9" w:rsidRPr="00D7773F">
          <w:rPr>
            <w:rStyle w:val="Hipercze"/>
            <w:rFonts w:cstheme="minorHAnsi"/>
          </w:rPr>
          <w:t xml:space="preserve"> r.</w:t>
        </w:r>
        <w:r w:rsidRPr="00D7773F">
          <w:rPr>
            <w:rStyle w:val="Hipercze"/>
            <w:rFonts w:cstheme="minorHAnsi"/>
          </w:rPr>
          <w:t>, s. 1</w:t>
        </w:r>
        <w:r w:rsidR="00CC3BA9" w:rsidRPr="00D7773F">
          <w:rPr>
            <w:rStyle w:val="Hipercze"/>
            <w:rFonts w:cstheme="minorHAnsi"/>
          </w:rPr>
          <w:t xml:space="preserve">, z </w:t>
        </w:r>
        <w:proofErr w:type="spellStart"/>
        <w:r w:rsidR="00CC3BA9" w:rsidRPr="00D7773F">
          <w:rPr>
            <w:rStyle w:val="Hipercze"/>
            <w:rFonts w:cstheme="minorHAnsi"/>
          </w:rPr>
          <w:t>późn</w:t>
        </w:r>
        <w:proofErr w:type="spellEnd"/>
        <w:r w:rsidR="00CC3BA9" w:rsidRPr="00D7773F">
          <w:rPr>
            <w:rStyle w:val="Hipercze"/>
            <w:rFonts w:cstheme="minorHAnsi"/>
          </w:rPr>
          <w:t>. zm.</w:t>
        </w:r>
        <w:r w:rsidRPr="00D7773F">
          <w:rPr>
            <w:rStyle w:val="Hipercze"/>
            <w:rFonts w:cstheme="minorHAnsi"/>
          </w:rPr>
          <w:t>)</w:t>
        </w:r>
        <w:r w:rsidR="00D7773F" w:rsidRPr="00D7773F">
          <w:rPr>
            <w:rStyle w:val="Hipercze"/>
            <w:rFonts w:cstheme="minorHAnsi"/>
          </w:rPr>
          <w:t>.</w:t>
        </w:r>
      </w:hyperlink>
      <w:r w:rsidR="002F2F2A" w:rsidRPr="003B4AE1">
        <w:rPr>
          <w:rFonts w:cstheme="minorHAnsi"/>
        </w:rPr>
        <w:t xml:space="preserve"> </w:t>
      </w:r>
    </w:p>
  </w:footnote>
  <w:footnote w:id="12">
    <w:p w14:paraId="011428FD" w14:textId="70C9706C" w:rsidR="00E75AEB" w:rsidRPr="00E75AEB" w:rsidRDefault="00E75AEB" w:rsidP="00782F3D">
      <w:pPr>
        <w:pStyle w:val="Tekstprzypisudolnego"/>
        <w:spacing w:after="60" w:line="276" w:lineRule="aut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75AEB">
        <w:rPr>
          <w:rFonts w:cstheme="minorHAnsi"/>
        </w:rPr>
        <w:t>Artykuł 9</w:t>
      </w:r>
      <w:r>
        <w:rPr>
          <w:rFonts w:cstheme="minorHAnsi"/>
        </w:rPr>
        <w:t xml:space="preserve">. </w:t>
      </w:r>
      <w:r w:rsidRPr="00E75AEB">
        <w:rPr>
          <w:rFonts w:cstheme="minorHAnsi"/>
        </w:rPr>
        <w:t>1. Niniejszą decyzję stosuje się do dnia 31 lipca 2022 r.</w:t>
      </w:r>
      <w:r>
        <w:rPr>
          <w:rFonts w:cstheme="minorHAnsi"/>
        </w:rPr>
        <w:t xml:space="preserve"> </w:t>
      </w:r>
      <w:r w:rsidRPr="00E75AEB">
        <w:rPr>
          <w:rFonts w:cstheme="minorHAnsi"/>
        </w:rPr>
        <w:t>2. Niniejsza decyzja jest przedmiotem stałego przeglądu. Okres jej obowiązywania zostanie przedłużony lub zostanie ona odpowiednio zmieniona, jeżeli Rada uzna, że cele niniejszej decyzji nie zostały osiągnięte.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4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7"/>
  </w:num>
  <w:num w:numId="5">
    <w:abstractNumId w:val="8"/>
  </w:num>
  <w:num w:numId="6">
    <w:abstractNumId w:val="15"/>
  </w:num>
  <w:num w:numId="7">
    <w:abstractNumId w:val="1"/>
  </w:num>
  <w:num w:numId="8">
    <w:abstractNumId w:val="14"/>
  </w:num>
  <w:num w:numId="9">
    <w:abstractNumId w:val="12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  <w:num w:numId="14">
    <w:abstractNumId w:val="3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1A14"/>
    <w:rsid w:val="0002489E"/>
    <w:rsid w:val="000261D2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51A19"/>
    <w:rsid w:val="00257F96"/>
    <w:rsid w:val="0026216B"/>
    <w:rsid w:val="002820D9"/>
    <w:rsid w:val="002826E1"/>
    <w:rsid w:val="00284DA6"/>
    <w:rsid w:val="002902CB"/>
    <w:rsid w:val="002D490C"/>
    <w:rsid w:val="002F0611"/>
    <w:rsid w:val="002F2F2A"/>
    <w:rsid w:val="002F60B2"/>
    <w:rsid w:val="002F7A17"/>
    <w:rsid w:val="002F7A25"/>
    <w:rsid w:val="00320F3F"/>
    <w:rsid w:val="00324566"/>
    <w:rsid w:val="00326098"/>
    <w:rsid w:val="003571AF"/>
    <w:rsid w:val="00397B41"/>
    <w:rsid w:val="003A0ADD"/>
    <w:rsid w:val="003A0C91"/>
    <w:rsid w:val="003A7A49"/>
    <w:rsid w:val="003B17B6"/>
    <w:rsid w:val="003B4AE1"/>
    <w:rsid w:val="003C6A57"/>
    <w:rsid w:val="003C74A2"/>
    <w:rsid w:val="003D7E30"/>
    <w:rsid w:val="003E3924"/>
    <w:rsid w:val="003F7556"/>
    <w:rsid w:val="00404685"/>
    <w:rsid w:val="00405386"/>
    <w:rsid w:val="00410167"/>
    <w:rsid w:val="004115D4"/>
    <w:rsid w:val="00414932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5FC4"/>
    <w:rsid w:val="0066696B"/>
    <w:rsid w:val="006B4A44"/>
    <w:rsid w:val="006D1AEA"/>
    <w:rsid w:val="006E1A22"/>
    <w:rsid w:val="006E1B1D"/>
    <w:rsid w:val="006E7242"/>
    <w:rsid w:val="00716AA0"/>
    <w:rsid w:val="00734B6A"/>
    <w:rsid w:val="007354E4"/>
    <w:rsid w:val="00741769"/>
    <w:rsid w:val="007528B4"/>
    <w:rsid w:val="00770935"/>
    <w:rsid w:val="007723E7"/>
    <w:rsid w:val="00782F3D"/>
    <w:rsid w:val="00785AE0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C0055"/>
    <w:rsid w:val="008E3E09"/>
    <w:rsid w:val="008E4E74"/>
    <w:rsid w:val="008E79E8"/>
    <w:rsid w:val="008F1C75"/>
    <w:rsid w:val="008F5450"/>
    <w:rsid w:val="0093195B"/>
    <w:rsid w:val="00944729"/>
    <w:rsid w:val="009514D4"/>
    <w:rsid w:val="0097073A"/>
    <w:rsid w:val="00983C95"/>
    <w:rsid w:val="009A29EB"/>
    <w:rsid w:val="009C6B8A"/>
    <w:rsid w:val="009E7025"/>
    <w:rsid w:val="009E7B46"/>
    <w:rsid w:val="009F7441"/>
    <w:rsid w:val="00A0507F"/>
    <w:rsid w:val="00A050FD"/>
    <w:rsid w:val="00A26EBF"/>
    <w:rsid w:val="00A516F0"/>
    <w:rsid w:val="00A535B7"/>
    <w:rsid w:val="00A57A7C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60E7C"/>
    <w:rsid w:val="00B71727"/>
    <w:rsid w:val="00B730A6"/>
    <w:rsid w:val="00B8141D"/>
    <w:rsid w:val="00B81580"/>
    <w:rsid w:val="00B8363F"/>
    <w:rsid w:val="00B83BE6"/>
    <w:rsid w:val="00BA3605"/>
    <w:rsid w:val="00BD0ED2"/>
    <w:rsid w:val="00BD24EA"/>
    <w:rsid w:val="00BD4E18"/>
    <w:rsid w:val="00BD691E"/>
    <w:rsid w:val="00BE2555"/>
    <w:rsid w:val="00BF4A19"/>
    <w:rsid w:val="00C025DC"/>
    <w:rsid w:val="00C1046E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C3BA9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63400"/>
    <w:rsid w:val="00D71E0A"/>
    <w:rsid w:val="00D7773F"/>
    <w:rsid w:val="00DD0A1C"/>
    <w:rsid w:val="00DF408C"/>
    <w:rsid w:val="00DF5B1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75AEB"/>
    <w:rsid w:val="00E86DDB"/>
    <w:rsid w:val="00E87F8D"/>
    <w:rsid w:val="00E97EF0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A384C"/>
    <w:rsid w:val="00FB084E"/>
    <w:rsid w:val="00FB6022"/>
    <w:rsid w:val="00FD51A8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326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0B2"/>
  </w:style>
  <w:style w:type="paragraph" w:styleId="Stopka">
    <w:name w:val="footer"/>
    <w:basedOn w:val="Normalny"/>
    <w:link w:val="StopkaZnak"/>
    <w:uiPriority w:val="99"/>
    <w:unhideWhenUsed/>
    <w:rsid w:val="002F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5BD-295C-4B14-80D3-44E40CC1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istnienia okoliczności i podstaw do zakazu udostępnienia funduszy, środków finansowych lub zasobów gospodarczych oraz udzielenia wsparcia w związku z agresją Rosji wobec Ukrainy</vt:lpstr>
    </vt:vector>
  </TitlesOfParts>
  <Company>PARP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Rzemieniewska Agnieszka</cp:lastModifiedBy>
  <cp:revision>5</cp:revision>
  <dcterms:created xsi:type="dcterms:W3CDTF">2022-07-08T13:31:00Z</dcterms:created>
  <dcterms:modified xsi:type="dcterms:W3CDTF">2022-07-14T11:41:00Z</dcterms:modified>
</cp:coreProperties>
</file>