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766373F7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I</w:t>
      </w:r>
      <w:r w:rsidR="000318E7">
        <w:rPr>
          <w:b/>
          <w:bCs/>
        </w:rPr>
        <w:t>I</w:t>
      </w:r>
      <w:r w:rsidR="00B60493">
        <w:rPr>
          <w:b/>
          <w:bCs/>
        </w:rPr>
        <w:t xml:space="preserve"> Etap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35E3DC5" w:rsidR="008F7778" w:rsidRDefault="000318E7" w:rsidP="00E63EB0">
      <w:pPr>
        <w:spacing w:after="120" w:line="276" w:lineRule="auto"/>
        <w:jc w:val="center"/>
        <w:rPr>
          <w:bCs/>
        </w:rPr>
      </w:pPr>
      <w:r>
        <w:rPr>
          <w:bCs/>
        </w:rPr>
        <w:t>30 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6F329F8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2016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1513E4CB" w:rsidR="008F7778" w:rsidRDefault="003F2B3A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29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12</w:t>
      </w:r>
      <w:r w:rsidR="00A71B2A">
        <w:rPr>
          <w:b/>
          <w:bCs/>
          <w:iCs/>
        </w:rPr>
        <w:t>/2016</w:t>
      </w:r>
    </w:p>
    <w:p w14:paraId="503DB312" w14:textId="2AA8ED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IP/IZ)</w:t>
      </w:r>
    </w:p>
    <w:p w14:paraId="7C2A8F9E" w14:textId="7F252D09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1920B8AB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="005D06B0" w:rsidRPr="005D06B0">
        <w:rPr>
          <w:rFonts w:asciiTheme="minorHAnsi" w:hAnsiTheme="minorHAnsi" w:cstheme="minorHAnsi"/>
          <w:sz w:val="22"/>
          <w:szCs w:val="22"/>
        </w:rPr>
        <w:t xml:space="preserve"> </w:t>
      </w:r>
      <w:r w:rsidR="005D06B0" w:rsidRPr="005D06B0">
        <w:rPr>
          <w:rFonts w:eastAsia="Calibri"/>
          <w:lang w:eastAsia="en-US"/>
        </w:rPr>
        <w:t>i 1579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5AE98158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9B08360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</w:t>
      </w:r>
      <w:proofErr w:type="spellStart"/>
      <w:r w:rsidRPr="002A13E3">
        <w:rPr>
          <w:rFonts w:eastAsia="Calibri"/>
          <w:lang w:eastAsia="en-US"/>
        </w:rPr>
        <w:t>późn</w:t>
      </w:r>
      <w:proofErr w:type="spellEnd"/>
      <w:r w:rsidRPr="002A13E3">
        <w:rPr>
          <w:rFonts w:eastAsia="Calibri"/>
          <w:lang w:eastAsia="en-US"/>
        </w:rPr>
        <w:t>. zm.)</w:t>
      </w:r>
      <w:r w:rsidR="002A13E3">
        <w:rPr>
          <w:rFonts w:eastAsia="Calibri"/>
          <w:lang w:eastAsia="en-US"/>
        </w:rPr>
        <w:t>;</w:t>
      </w:r>
    </w:p>
    <w:p w14:paraId="4AEDF1F6" w14:textId="7788924C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>yczących pomocy publicznej (Dz. U. z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0" w:name="highlightHit_0"/>
      <w:bookmarkEnd w:id="0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</w:t>
      </w:r>
      <w:proofErr w:type="spellStart"/>
      <w:r w:rsidR="00BE78ED">
        <w:rPr>
          <w:rFonts w:eastAsia="Calibri"/>
          <w:lang w:eastAsia="en-US"/>
        </w:rPr>
        <w:t>późn</w:t>
      </w:r>
      <w:proofErr w:type="spellEnd"/>
      <w:r w:rsidR="00BE78ED">
        <w:rPr>
          <w:rFonts w:eastAsia="Calibri"/>
          <w:lang w:eastAsia="en-US"/>
        </w:rPr>
        <w:t>. zm.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</w:t>
      </w:r>
      <w:proofErr w:type="spellStart"/>
      <w:r w:rsidR="00140043">
        <w:rPr>
          <w:rFonts w:eastAsia="Calibri"/>
          <w:lang w:eastAsia="en-US"/>
        </w:rPr>
        <w:t>późń</w:t>
      </w:r>
      <w:proofErr w:type="spellEnd"/>
      <w:r w:rsidR="00140043">
        <w:rPr>
          <w:rFonts w:eastAsia="Calibri"/>
          <w:lang w:eastAsia="en-US"/>
        </w:rPr>
        <w:t>. zm.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77777777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KE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EE43B69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KE nr 651/2014”</w:t>
      </w:r>
      <w:r w:rsidRPr="003D1650">
        <w:rPr>
          <w:rFonts w:eastAsia="Calibri"/>
          <w:lang w:eastAsia="en-US"/>
        </w:rPr>
        <w:t>;</w:t>
      </w:r>
    </w:p>
    <w:p w14:paraId="20F58290" w14:textId="5D0EB0ED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3F4EB6F4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 xml:space="preserve">utworzenie indywidualnego profilu w 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3D92D6B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>W przypadku 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5F3F99B9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przypadku 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0B91C99D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>W skład KOP wchodzą pracownicy PARP oraz 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proofErr w:type="spellStart"/>
      <w:r w:rsidRPr="009D7A49">
        <w:rPr>
          <w:b/>
        </w:rPr>
        <w:t>mikroprzedsiębiorca</w:t>
      </w:r>
      <w:proofErr w:type="spellEnd"/>
      <w:r w:rsidRPr="009D7A49">
        <w:rPr>
          <w:b/>
        </w:rPr>
        <w:t xml:space="preserve">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 xml:space="preserve">odpowiednio </w:t>
      </w:r>
      <w:proofErr w:type="spellStart"/>
      <w:r w:rsidR="00E63EB0" w:rsidRPr="009D7A49">
        <w:rPr>
          <w:rFonts w:eastAsia="Calibri"/>
        </w:rPr>
        <w:t>mikroprzedsiębiorcę</w:t>
      </w:r>
      <w:proofErr w:type="spellEnd"/>
      <w:r w:rsidR="00E63EB0" w:rsidRPr="009D7A49">
        <w:rPr>
          <w:rFonts w:eastAsia="Calibri"/>
        </w:rPr>
        <w:t>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2960457D" w14:textId="3A92717C" w:rsidR="002777C8" w:rsidRPr="002777C8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  <w:r w:rsidRPr="00422099">
        <w:rPr>
          <w:b/>
        </w:rPr>
        <w:t xml:space="preserve"> </w:t>
      </w:r>
    </w:p>
    <w:p w14:paraId="4B01AD9D" w14:textId="1FFF0FF5" w:rsidR="00E412AF" w:rsidRPr="00252A31" w:rsidRDefault="00E412AF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252A31">
        <w:rPr>
          <w:b/>
        </w:rPr>
        <w:t>Model biznesowy internacjonalizacji –</w:t>
      </w:r>
      <w:r w:rsidRPr="00252A31">
        <w:t xml:space="preserve"> </w:t>
      </w:r>
      <w:r w:rsidR="00252A31">
        <w:t xml:space="preserve">dokument będący produktem projektu </w:t>
      </w:r>
      <w:r w:rsidR="003B3D1D">
        <w:t>z</w:t>
      </w:r>
      <w:r w:rsidR="00252A31">
        <w:t>realizowanego w ramach I etapu działania 1.2 POPW;</w:t>
      </w:r>
    </w:p>
    <w:p w14:paraId="35E976AA" w14:textId="06904CF4" w:rsidR="00333855" w:rsidRDefault="00333855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Panel Ekspertów </w:t>
      </w:r>
      <w:r w:rsidR="006E591F">
        <w:t>(</w:t>
      </w:r>
      <w:r w:rsidRPr="00E63EB0">
        <w:t>panel członków KOP</w:t>
      </w:r>
      <w:r w:rsidR="006E591F">
        <w:t>)</w:t>
      </w:r>
      <w:r w:rsidRPr="00E63EB0">
        <w:t xml:space="preserve"> – </w:t>
      </w:r>
      <w:r w:rsidR="001B159D" w:rsidRPr="001B159D">
        <w:t>członków KOP dokonujących wspólnej oceny merytorycznej danego projektu</w:t>
      </w:r>
      <w:r w:rsidR="000A5FFD">
        <w:t>;</w:t>
      </w:r>
      <w:r w:rsidR="001B159D">
        <w:t xml:space="preserve"> 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01618750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911805" w:rsidRPr="00911805">
        <w:rPr>
          <w:rFonts w:eastAsia="Calibri"/>
          <w:lang w:eastAsia="en-US"/>
        </w:rPr>
        <w:t xml:space="preserve"> </w:t>
      </w:r>
      <w:r w:rsidR="00911805">
        <w:rPr>
          <w:rFonts w:eastAsia="Calibri"/>
          <w:lang w:eastAsia="en-US"/>
        </w:rPr>
        <w:t>oraz spełnienia przez wnioskodawcę kryteriów ubiegania się o dofinansowanie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1" w:name="_Toc184790623"/>
      <w:bookmarkStart w:id="2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3" w:name="_Toc205091845"/>
      <w:bookmarkStart w:id="4" w:name="_Toc191364021"/>
      <w:bookmarkStart w:id="5" w:name="_Toc191364273"/>
      <w:bookmarkStart w:id="6" w:name="_Toc191364663"/>
      <w:bookmarkStart w:id="7" w:name="_Toc191456538"/>
      <w:bookmarkStart w:id="8" w:name="_Toc191954089"/>
      <w:bookmarkStart w:id="9" w:name="_Toc191364023"/>
      <w:bookmarkStart w:id="10" w:name="_Toc191364275"/>
      <w:bookmarkStart w:id="11" w:name="_Toc191364665"/>
      <w:bookmarkStart w:id="12" w:name="_Toc191456540"/>
      <w:bookmarkStart w:id="13" w:name="_Toc19195409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1F186483" w:rsidR="00E93BD4" w:rsidRPr="00E63EB0" w:rsidRDefault="00E93BD4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Celem konkursu jest wyłonienie projektów, które w największym stopniu przyczynią się do osiągnięcia celów POPW oraz celów d</w:t>
      </w:r>
      <w:r w:rsidR="00B34EC6">
        <w:t>ziałania</w:t>
      </w:r>
      <w:r w:rsidR="00E412AF">
        <w:t xml:space="preserve"> </w:t>
      </w:r>
      <w:r w:rsidR="00B34EC6">
        <w:t>określonych w SZOOP</w:t>
      </w:r>
      <w:r w:rsidRPr="007D6A16">
        <w:t>, do których należy w szczególności</w:t>
      </w:r>
      <w:r w:rsidR="002609E3">
        <w:t xml:space="preserve"> </w:t>
      </w:r>
      <w:r w:rsidR="00F629D0">
        <w:t>zwiększenie aktywności gospodarczej MŚP z makroregionu Polski Wschodniej na rynkach międzynarodowych</w:t>
      </w:r>
      <w:r w:rsidR="00A84029">
        <w:t xml:space="preserve">, poprzez wsparcie doradcze </w:t>
      </w:r>
      <w:r w:rsidR="008B2AEC">
        <w:t>obejmujące kompleksowe działania związane z opracowaniem (I etap działania) i przygotowaniem do wdrożenia (II etap działania) nowego modelu biznesowego związanego z internacjonalizacją działalności przedsiębiorcy</w:t>
      </w:r>
      <w:r w:rsidR="00A84029">
        <w:t>.</w:t>
      </w:r>
      <w:r w:rsidR="00F629D0">
        <w:t xml:space="preserve"> </w:t>
      </w:r>
      <w:r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1713E101" w:rsidR="00211528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od </w:t>
      </w:r>
      <w:r w:rsidR="00696E1C">
        <w:t>1</w:t>
      </w:r>
      <w:r w:rsidR="00F57793">
        <w:t xml:space="preserve"> lutego</w:t>
      </w:r>
      <w:r w:rsidR="007A641D" w:rsidRPr="009A0740">
        <w:t xml:space="preserve"> 201</w:t>
      </w:r>
      <w:r w:rsidR="00F57793">
        <w:t>7</w:t>
      </w:r>
      <w:r w:rsidR="007A641D" w:rsidRPr="009A0740">
        <w:t xml:space="preserve"> r.</w:t>
      </w:r>
      <w:r w:rsidRPr="00E63EB0">
        <w:t xml:space="preserve"> do</w:t>
      </w:r>
      <w:r w:rsidR="004312EC">
        <w:t xml:space="preserve"> </w:t>
      </w:r>
      <w:r w:rsidR="00696E1C">
        <w:t>29</w:t>
      </w:r>
      <w:r w:rsidR="00F57793">
        <w:t xml:space="preserve"> września</w:t>
      </w:r>
      <w:r w:rsidR="001E07DF">
        <w:t xml:space="preserve"> </w:t>
      </w:r>
      <w:r w:rsidR="006262E2">
        <w:t>201</w:t>
      </w:r>
      <w:r w:rsidR="00A373C6">
        <w:t>7</w:t>
      </w:r>
      <w:r w:rsidR="008B2AEC">
        <w:t xml:space="preserve"> </w:t>
      </w:r>
      <w:r w:rsidR="00BE16CF" w:rsidRPr="00E63EB0">
        <w:t>r</w:t>
      </w:r>
      <w:r w:rsidR="00C348FD"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CB3486">
        <w:t>,</w:t>
      </w:r>
      <w:r w:rsidR="00CB3486" w:rsidRPr="00CB3486">
        <w:t xml:space="preserve"> </w:t>
      </w:r>
      <w:r w:rsidR="00CB3486">
        <w:t>z zastrzeżeniem, że konkurs podzielony jest na etapy</w:t>
      </w:r>
      <w:r w:rsidR="00AC1435">
        <w:t>.</w:t>
      </w:r>
    </w:p>
    <w:p w14:paraId="374831B1" w14:textId="19B08B7E" w:rsidR="00CB3486" w:rsidRPr="00E63EB0" w:rsidRDefault="00CB3486" w:rsidP="00CB3486">
      <w:pPr>
        <w:tabs>
          <w:tab w:val="num" w:pos="1080"/>
        </w:tabs>
        <w:spacing w:after="120" w:line="276" w:lineRule="auto"/>
        <w:ind w:left="357"/>
        <w:jc w:val="both"/>
      </w:pPr>
      <w:r>
        <w:t>Etap konkursu obejmuje nabór wniosków w</w:t>
      </w:r>
      <w:r w:rsidR="005A5B3B">
        <w:t xml:space="preserve"> </w:t>
      </w:r>
      <w:r w:rsidR="00AC1435">
        <w:t>danym miesiącu kalendarzowym</w:t>
      </w:r>
      <w:r w:rsidR="005A5B3B">
        <w:t xml:space="preserve"> (w</w:t>
      </w:r>
      <w:r w:rsidR="00AC1435">
        <w:t>e</w:t>
      </w:r>
      <w:r w:rsidR="005A5B3B">
        <w:t xml:space="preserve"> </w:t>
      </w:r>
      <w:r w:rsidR="00AC1435">
        <w:t>wrześniu</w:t>
      </w:r>
      <w:r w:rsidR="005A5B3B">
        <w:t> 2017 r. –</w:t>
      </w:r>
      <w:r w:rsidR="00AC1435">
        <w:t xml:space="preserve"> do 29 dnia miesiąca,</w:t>
      </w:r>
      <w:r w:rsidR="005A5B3B">
        <w:t xml:space="preserve"> do godz. 16:00:00)</w:t>
      </w:r>
      <w:r>
        <w:t xml:space="preserve">, ich ocenę formalną i merytoryczną oraz opublikowanie listy ocenionych projektów zawierającej przyznane oceny z wyróżnieniem projektów wybranych do dofinansowania, o których mowa w § 11 ust. </w:t>
      </w:r>
      <w:r w:rsidR="005A5B3B">
        <w:t>2</w:t>
      </w:r>
      <w:r>
        <w:t>.</w:t>
      </w:r>
    </w:p>
    <w:p w14:paraId="4929B829" w14:textId="73579674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F57793">
        <w:t xml:space="preserve">30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F57793">
        <w:t xml:space="preserve">trzydzieści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751519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III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IV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545D83B8" w14:textId="76FED57D" w:rsidR="007D592C" w:rsidRDefault="007D592C" w:rsidP="003F2B3A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536C22">
        <w:t xml:space="preserve">W przypadku zamówień, do których nie stosuje się ustawy </w:t>
      </w:r>
      <w:proofErr w:type="spellStart"/>
      <w:r w:rsidRPr="00536C22">
        <w:t>pzp</w:t>
      </w:r>
      <w:proofErr w:type="spellEnd"/>
      <w:r w:rsidRPr="00536C22">
        <w:t xml:space="preserve">, co do których postępowanie o udzielenie zamówienia wszczęto przed dniem wejścia w życie umowy o dofinansowanie </w:t>
      </w:r>
      <w:r>
        <w:t>wnioskodawca</w:t>
      </w:r>
      <w:r w:rsidRPr="004553FD">
        <w:t xml:space="preserve"> stosuje </w:t>
      </w:r>
      <w:r>
        <w:t>przepisy art. 6c ustawy o PARP oraz</w:t>
      </w:r>
      <w:r w:rsidRPr="004553FD">
        <w:t xml:space="preserve"> zasady określone w wytycznych horyzontalnych</w:t>
      </w:r>
      <w:r>
        <w:t xml:space="preserve"> w zakresie kwalifikowalności.</w:t>
      </w:r>
      <w:r w:rsidRPr="004553FD">
        <w:t xml:space="preserve"> </w:t>
      </w:r>
      <w:r>
        <w:t>Wnioskodawca</w:t>
      </w:r>
      <w:r w:rsidRPr="00635E38">
        <w:t xml:space="preserve">, </w:t>
      </w:r>
      <w:r w:rsidRPr="00025813">
        <w:t xml:space="preserve">który dokonuje zakupów w projekcie w trybie zasady konkurencyjności </w:t>
      </w:r>
      <w:r>
        <w:t>określonej w wytycznych horyzontalnych w zakresie kwalifikowalności</w:t>
      </w:r>
      <w:r w:rsidRPr="00635E38">
        <w:t xml:space="preserve">, zobowiązuje się do publikacji zapytania ofertowego oraz informacji o wynikach postępowania </w:t>
      </w:r>
      <w:r>
        <w:t>poprzez wysłanie</w:t>
      </w:r>
      <w:r w:rsidRPr="00635E38">
        <w:t xml:space="preserve"> zapytania ofertowego do co najmniej trzech potencjalnych wykonawców, o ile na rynku istnieje </w:t>
      </w:r>
      <w:r w:rsidR="004C437B">
        <w:t xml:space="preserve">co najmniej </w:t>
      </w:r>
      <w:r w:rsidRPr="00635E38">
        <w:t>trzech potencjalnych wykonawców danego zamówienia oraz zamieszczeni</w:t>
      </w:r>
      <w:r w:rsidR="00DD10EB">
        <w:t>a</w:t>
      </w:r>
      <w:r w:rsidRPr="00635E38">
        <w:t xml:space="preserve"> zapytania ofertowego na swojej stronie internetowej, o ile posiada taką stronę lub na stronie internetowej Instytucji Pośredniczącej</w:t>
      </w:r>
      <w:r w:rsidR="003F2B3A">
        <w:rPr>
          <w:rStyle w:val="Odwoanieprzypisudolnego"/>
        </w:rPr>
        <w:footnoteReference w:id="1"/>
      </w:r>
      <w:r w:rsidRPr="00635E38">
        <w:t>.</w:t>
      </w:r>
    </w:p>
    <w:p w14:paraId="7C0DAD80" w14:textId="77777777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t>Wnioskodawca nie może złożyć wniosku o dofinansowanie projektu, który aktualnie jest przedmiotem:</w:t>
      </w:r>
    </w:p>
    <w:p w14:paraId="33C6078E" w14:textId="77777777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6A0137">
        <w:t xml:space="preserve">oceny w ramach innego naboru prowadzonego w PARP lub </w:t>
      </w:r>
    </w:p>
    <w:p w14:paraId="4F1C9665" w14:textId="77777777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EB4295">
        <w:t xml:space="preserve">procedury odwoławczej lub </w:t>
      </w:r>
    </w:p>
    <w:p w14:paraId="16C2894B" w14:textId="77777777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3901ED">
        <w:t xml:space="preserve">postępowania sądowo – administracyjnego, </w:t>
      </w:r>
    </w:p>
    <w:p w14:paraId="2CA19701" w14:textId="0880247E" w:rsidR="000B2E6C" w:rsidRP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r w:rsidRPr="00EB4703">
        <w:t>pod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076239EC" w14:textId="555D64B3" w:rsidR="00F4193D" w:rsidRDefault="00F4193D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>Działanie składa się z dwóch etapów:</w:t>
      </w:r>
    </w:p>
    <w:p w14:paraId="58CB71D9" w14:textId="70C21EF9" w:rsidR="00F06ACF" w:rsidRPr="0056686B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7828D0">
        <w:t>Etap I - obejmuje przygotowanie nowego modelu biznesowego internacjonalizacji</w:t>
      </w:r>
      <w:r w:rsidR="007332F6" w:rsidRPr="0056686B">
        <w:t>;</w:t>
      </w:r>
    </w:p>
    <w:p w14:paraId="0FDB82FA" w14:textId="6A871961" w:rsidR="00F06ACF" w:rsidRPr="007828D0" w:rsidRDefault="00F4193D" w:rsidP="00876AEC">
      <w:pPr>
        <w:pStyle w:val="Akapitzlist"/>
        <w:numPr>
          <w:ilvl w:val="0"/>
          <w:numId w:val="27"/>
        </w:numPr>
        <w:spacing w:after="120" w:line="276" w:lineRule="auto"/>
        <w:ind w:left="709" w:hanging="283"/>
        <w:contextualSpacing w:val="0"/>
        <w:jc w:val="both"/>
      </w:pPr>
      <w:r w:rsidRPr="0056686B">
        <w:t>Etap II - obejmuje przygotowanie do wdrożenia w przedsiębiorstwie beneficjenta nowego modelu biznesowego internacjonalizacji</w:t>
      </w:r>
      <w:r w:rsidR="007849AA">
        <w:t xml:space="preserve"> opracowanego w ramach Etapu I.</w:t>
      </w:r>
    </w:p>
    <w:p w14:paraId="7078B6EA" w14:textId="37049A44" w:rsidR="00F6528F" w:rsidRPr="00E63EB0" w:rsidRDefault="00484629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>
        <w:t xml:space="preserve">Dofinansowaniu </w:t>
      </w:r>
      <w:r w:rsidR="007849AA">
        <w:t xml:space="preserve">w konkursie </w:t>
      </w:r>
      <w:r>
        <w:t>będą podlegały</w:t>
      </w:r>
      <w:r w:rsidR="00F6528F" w:rsidRPr="00E63EB0">
        <w:t xml:space="preserve"> projekty </w:t>
      </w:r>
      <w:r w:rsidR="004D694F">
        <w:t>dotyczące</w:t>
      </w:r>
      <w:r w:rsidR="007849AA">
        <w:t xml:space="preserve"> Etapu </w:t>
      </w:r>
      <w:r w:rsidR="001C3937">
        <w:t>I</w:t>
      </w:r>
      <w:r w:rsidR="007849AA">
        <w:t xml:space="preserve">I, o którym mowa w ust. 1 pkt </w:t>
      </w:r>
      <w:r w:rsidR="00A373C6">
        <w:t>2</w:t>
      </w:r>
      <w:r w:rsidR="007849AA">
        <w:t>.</w:t>
      </w:r>
      <w:r w:rsidR="00F6528F" w:rsidRPr="00E63EB0">
        <w:t xml:space="preserve">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 xml:space="preserve">wyłącznie </w:t>
      </w:r>
      <w:proofErr w:type="spellStart"/>
      <w:r w:rsidR="007849AA">
        <w:t>mikroprzedsiębiorcy</w:t>
      </w:r>
      <w:proofErr w:type="spellEnd"/>
      <w:r w:rsidR="007849AA">
        <w:t>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09361C19" w14:textId="1814C15D" w:rsidR="003B300D" w:rsidRDefault="008F3BB9" w:rsidP="00A373C6">
      <w:pPr>
        <w:pStyle w:val="Akapitzlist"/>
        <w:numPr>
          <w:ilvl w:val="0"/>
          <w:numId w:val="2"/>
        </w:numPr>
        <w:spacing w:after="120" w:line="276" w:lineRule="auto"/>
        <w:ind w:left="426"/>
        <w:contextualSpacing w:val="0"/>
        <w:jc w:val="both"/>
      </w:pPr>
      <w:r>
        <w:t>O dofinansowanie w ramach II Etapu mogą ubiegać się przedsiębiorcy, którzy posiadają zatwierdzony przez Instytucję Pośredniczącą model biznesowy internacjonalizacji, zrealizowany w ramach I Etapu działania</w:t>
      </w:r>
      <w:r w:rsidR="009443BD">
        <w:t xml:space="preserve"> i </w:t>
      </w:r>
      <w:r w:rsidR="009443BD" w:rsidRPr="009443BD">
        <w:t>złoż</w:t>
      </w:r>
      <w:r w:rsidR="009443BD">
        <w:t xml:space="preserve">yli wniosek o dofinansowanie II Etapu </w:t>
      </w:r>
      <w:r w:rsidR="009443BD" w:rsidRPr="009443BD">
        <w:t>nie później niż 6 miesięcy od daty złożenia wniosku</w:t>
      </w:r>
      <w:r w:rsidR="009443BD">
        <w:t xml:space="preserve"> o płatność końcową w ramach I E</w:t>
      </w:r>
      <w:r w:rsidR="009443BD" w:rsidRPr="009443BD">
        <w:t>tapu</w:t>
      </w:r>
      <w:r w:rsidR="009443BD">
        <w:t>.</w:t>
      </w:r>
    </w:p>
    <w:p w14:paraId="7DB71B02" w14:textId="54682FE0" w:rsidR="00017C86" w:rsidRPr="0064196F" w:rsidRDefault="00563D6B" w:rsidP="0064196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bCs/>
        </w:rPr>
      </w:pPr>
      <w:r>
        <w:t xml:space="preserve">Dofinansowanie </w:t>
      </w:r>
      <w:r w:rsidR="00C200F5">
        <w:t>w ramach I</w:t>
      </w:r>
      <w:r w:rsidR="003B300D">
        <w:t>I</w:t>
      </w:r>
      <w:r w:rsidR="00C200F5">
        <w:t xml:space="preserve"> Etapu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>pomoc de minimis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 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KE nr 1407/2013</w:t>
      </w:r>
      <w:r w:rsidR="007D24AE">
        <w:rPr>
          <w:bCs/>
        </w:rPr>
        <w:t xml:space="preserve"> lub </w:t>
      </w:r>
      <w:r w:rsidR="003B300D">
        <w:rPr>
          <w:rFonts w:eastAsia="Calibri"/>
          <w:lang w:eastAsia="en-US"/>
        </w:rPr>
        <w:t>pomoc publiczn</w:t>
      </w:r>
      <w:r w:rsidR="003D16C8">
        <w:rPr>
          <w:rFonts w:eastAsia="Calibri"/>
          <w:lang w:eastAsia="en-US"/>
        </w:rPr>
        <w:t>ą</w:t>
      </w:r>
      <w:r w:rsidR="00707F58">
        <w:rPr>
          <w:rFonts w:eastAsia="Calibri"/>
          <w:lang w:eastAsia="en-US"/>
        </w:rPr>
        <w:t xml:space="preserve"> jako</w:t>
      </w:r>
      <w:r w:rsidR="003A4A81">
        <w:rPr>
          <w:rFonts w:eastAsia="Calibri"/>
          <w:lang w:eastAsia="en-US"/>
        </w:rPr>
        <w:t>:</w:t>
      </w:r>
      <w:r w:rsidR="003B300D">
        <w:rPr>
          <w:rFonts w:eastAsia="Calibri"/>
          <w:lang w:eastAsia="en-US"/>
        </w:rPr>
        <w:t xml:space="preserve">  </w:t>
      </w:r>
    </w:p>
    <w:p w14:paraId="124A67B6" w14:textId="242529AF" w:rsidR="007D24AE" w:rsidRPr="00A80926" w:rsidRDefault="007D24AE" w:rsidP="003F2B3A">
      <w:pPr>
        <w:pStyle w:val="Akapitzlist"/>
        <w:numPr>
          <w:ilvl w:val="0"/>
          <w:numId w:val="61"/>
        </w:numPr>
        <w:spacing w:after="120" w:line="276" w:lineRule="auto"/>
        <w:ind w:left="709" w:hanging="283"/>
        <w:contextualSpacing w:val="0"/>
        <w:jc w:val="both"/>
      </w:pPr>
      <w:r w:rsidRPr="00A80926">
        <w:t>Pomoc na usługi doradcze na rzecz MŚP</w:t>
      </w:r>
      <w:r w:rsidR="00A80926">
        <w:t xml:space="preserve"> – </w:t>
      </w:r>
      <w:r w:rsidR="003A4A81">
        <w:t xml:space="preserve">udzielaną zgodnie </w:t>
      </w:r>
      <w:r w:rsidR="003A4A81">
        <w:br/>
        <w:t xml:space="preserve">z </w:t>
      </w:r>
      <w:r w:rsidR="003A4A81" w:rsidRPr="00811D92">
        <w:t>przepis</w:t>
      </w:r>
      <w:r w:rsidR="003A4A81">
        <w:t>ami</w:t>
      </w:r>
      <w:r w:rsidR="003A4A81" w:rsidRPr="00811D92">
        <w:t xml:space="preserve"> rozdziału I,</w:t>
      </w:r>
      <w:r w:rsidR="003A4A81">
        <w:t xml:space="preserve"> </w:t>
      </w:r>
      <w:r w:rsidRPr="00A80926">
        <w:t xml:space="preserve"> </w:t>
      </w:r>
      <w:r w:rsidR="003A4A81">
        <w:t>a</w:t>
      </w:r>
      <w:r w:rsidRPr="00A80926">
        <w:t>rtykuł</w:t>
      </w:r>
      <w:r w:rsidR="00A80926">
        <w:t>u</w:t>
      </w:r>
      <w:r w:rsidRPr="00A80926">
        <w:t xml:space="preserve"> 18</w:t>
      </w:r>
      <w:r w:rsidR="00A80926">
        <w:t xml:space="preserve"> </w:t>
      </w:r>
      <w:r w:rsidR="003A4A81" w:rsidRPr="00811D92">
        <w:t xml:space="preserve">rozdziału III oraz rozdziału IV </w:t>
      </w:r>
      <w:r w:rsidR="00A80926">
        <w:rPr>
          <w:rFonts w:eastAsia="Calibri"/>
          <w:lang w:eastAsia="en-US"/>
        </w:rPr>
        <w:t>rozporządzenia</w:t>
      </w:r>
      <w:r w:rsidR="00A80926" w:rsidRPr="00A373C6">
        <w:rPr>
          <w:rFonts w:eastAsia="Calibri"/>
          <w:lang w:eastAsia="en-US"/>
        </w:rPr>
        <w:t xml:space="preserve"> KE nr 651/2014</w:t>
      </w:r>
      <w:r w:rsidR="00A80926">
        <w:rPr>
          <w:rFonts w:eastAsia="Calibri"/>
          <w:lang w:eastAsia="en-US"/>
        </w:rPr>
        <w:t>, lub</w:t>
      </w:r>
    </w:p>
    <w:p w14:paraId="73AEE382" w14:textId="0F528410" w:rsidR="007D24AE" w:rsidRPr="00A80926" w:rsidRDefault="007D24AE" w:rsidP="003F2B3A">
      <w:pPr>
        <w:pStyle w:val="Akapitzlist"/>
        <w:numPr>
          <w:ilvl w:val="0"/>
          <w:numId w:val="61"/>
        </w:numPr>
        <w:spacing w:after="120" w:line="276" w:lineRule="auto"/>
        <w:ind w:left="709" w:hanging="283"/>
        <w:contextualSpacing w:val="0"/>
        <w:jc w:val="both"/>
      </w:pPr>
      <w:r w:rsidRPr="00A80926">
        <w:t>Pomoc na udział MŚP w targach</w:t>
      </w:r>
      <w:r w:rsidR="00A80926">
        <w:t xml:space="preserve"> - </w:t>
      </w:r>
      <w:r w:rsidR="003A4A81">
        <w:t>udzielaną</w:t>
      </w:r>
      <w:r w:rsidRPr="00A80926">
        <w:t xml:space="preserve"> </w:t>
      </w:r>
      <w:r w:rsidR="003A4A81">
        <w:t xml:space="preserve">zgodnie </w:t>
      </w:r>
      <w:r w:rsidR="003A4A81">
        <w:br/>
        <w:t xml:space="preserve">z </w:t>
      </w:r>
      <w:r w:rsidR="003A4A81" w:rsidRPr="00811D92">
        <w:t>przepis</w:t>
      </w:r>
      <w:r w:rsidR="003A4A81">
        <w:t>ami</w:t>
      </w:r>
      <w:r w:rsidR="003A4A81" w:rsidRPr="00811D92">
        <w:t xml:space="preserve"> rozdziału I,</w:t>
      </w:r>
      <w:r w:rsidR="003A4A81">
        <w:t xml:space="preserve"> a</w:t>
      </w:r>
      <w:r w:rsidRPr="00A80926">
        <w:t>rtykuł</w:t>
      </w:r>
      <w:r w:rsidR="00A80926">
        <w:t>u</w:t>
      </w:r>
      <w:r w:rsidRPr="00A80926">
        <w:t xml:space="preserve"> 19</w:t>
      </w:r>
      <w:r w:rsidR="00A80926" w:rsidRPr="00A80926">
        <w:rPr>
          <w:rFonts w:eastAsia="Calibri"/>
          <w:lang w:eastAsia="en-US"/>
        </w:rPr>
        <w:t xml:space="preserve"> </w:t>
      </w:r>
      <w:r w:rsidR="003A4A81" w:rsidRPr="00811D92">
        <w:t>rozdziału III oraz rozdziału IV</w:t>
      </w:r>
      <w:r w:rsidR="003A4A81">
        <w:rPr>
          <w:rFonts w:eastAsia="Calibri"/>
          <w:lang w:eastAsia="en-US"/>
        </w:rPr>
        <w:t xml:space="preserve"> </w:t>
      </w:r>
      <w:r w:rsidR="00A80926">
        <w:rPr>
          <w:rFonts w:eastAsia="Calibri"/>
          <w:lang w:eastAsia="en-US"/>
        </w:rPr>
        <w:t>rozporządzenia</w:t>
      </w:r>
      <w:r w:rsidR="00A80926" w:rsidRPr="00A373C6">
        <w:rPr>
          <w:rFonts w:eastAsia="Calibri"/>
          <w:lang w:eastAsia="en-US"/>
        </w:rPr>
        <w:t xml:space="preserve"> KE nr 651/2014</w:t>
      </w:r>
      <w:r w:rsidR="00A80926">
        <w:rPr>
          <w:rFonts w:eastAsia="Calibri"/>
          <w:lang w:eastAsia="en-US"/>
        </w:rPr>
        <w:t>.</w:t>
      </w:r>
    </w:p>
    <w:p w14:paraId="6C2D7E08" w14:textId="1961B288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 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0446791D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 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1CA74022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</w:t>
      </w:r>
      <w:proofErr w:type="spellStart"/>
      <w:r w:rsidRPr="00E63EB0">
        <w:rPr>
          <w:bCs/>
        </w:rPr>
        <w:t>późn</w:t>
      </w:r>
      <w:proofErr w:type="spellEnd"/>
      <w:r w:rsidRPr="00E63EB0">
        <w:rPr>
          <w:bCs/>
        </w:rPr>
        <w:t xml:space="preserve">. </w:t>
      </w:r>
      <w:proofErr w:type="spellStart"/>
      <w:r w:rsidRPr="00E63EB0">
        <w:rPr>
          <w:bCs/>
        </w:rPr>
        <w:t>zm</w:t>
      </w:r>
      <w:proofErr w:type="spellEnd"/>
      <w:r w:rsidRPr="00E63EB0">
        <w:rPr>
          <w:bCs/>
        </w:rPr>
        <w:t>)</w:t>
      </w:r>
      <w:r w:rsidR="006C15DE">
        <w:rPr>
          <w:bCs/>
        </w:rPr>
        <w:t>;</w:t>
      </w:r>
    </w:p>
    <w:p w14:paraId="3D178B8E" w14:textId="3934CAB0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(Dz. U.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 xml:space="preserve">r.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099101FB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który znajduje się w trudnej sytuacji w rozumieniu unijnych przepisów dotyczących pomocy państwa w szczególności rozporządzenia KE nr 651/2014.</w:t>
      </w:r>
    </w:p>
    <w:p w14:paraId="144AF55E" w14:textId="042A7538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>§ 4 rozporządzenia</w:t>
      </w:r>
      <w:r w:rsidRPr="003C72EE">
        <w:t>.</w:t>
      </w:r>
    </w:p>
    <w:p w14:paraId="7FE01489" w14:textId="3B56197A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wyrobami lub usługami obcymi).</w:t>
      </w:r>
    </w:p>
    <w:p w14:paraId="02735FA2" w14:textId="2B12BF00" w:rsidR="00F6528F" w:rsidRPr="003C72EE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4E172E">
        <w:rPr>
          <w:rFonts w:eastAsiaTheme="minorHAnsi"/>
          <w:color w:val="000000"/>
          <w:lang w:eastAsia="en-US"/>
        </w:rPr>
        <w:t>I</w:t>
      </w:r>
      <w:r w:rsidR="003B300D">
        <w:rPr>
          <w:rFonts w:eastAsiaTheme="minorHAnsi"/>
          <w:color w:val="000000"/>
          <w:lang w:eastAsia="en-US"/>
        </w:rPr>
        <w:t>I</w:t>
      </w:r>
      <w:r w:rsidR="004E172E">
        <w:rPr>
          <w:rFonts w:eastAsiaTheme="minorHAnsi"/>
          <w:color w:val="000000"/>
          <w:lang w:eastAsia="en-US"/>
        </w:rPr>
        <w:t xml:space="preserve"> Etapu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>ziałania, zatwierdzone przez Komitet Monitorujący PO</w:t>
      </w:r>
      <w:r w:rsidR="00414F1A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2E280E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086E0A36" w:rsidR="007531F3" w:rsidRPr="00530C3F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530C3F">
        <w:rPr>
          <w:iCs/>
        </w:rPr>
        <w:t xml:space="preserve">realizacja projektu nie może rozpocząć się </w:t>
      </w:r>
      <w:r w:rsidR="00530C3F">
        <w:rPr>
          <w:iCs/>
        </w:rPr>
        <w:t>przed dniem złożenia wniosku o dofinansowani</w:t>
      </w:r>
      <w:r w:rsidR="00530C3F" w:rsidRPr="003F2B3A">
        <w:rPr>
          <w:iCs/>
        </w:rPr>
        <w:t>e</w:t>
      </w:r>
      <w:r w:rsidR="003F2B3A" w:rsidRPr="003F2B3A">
        <w:rPr>
          <w:rStyle w:val="Odwoanieprzypisudolnego"/>
          <w:iCs/>
        </w:rPr>
        <w:footnoteReference w:id="2"/>
      </w:r>
      <w:r w:rsidR="00530C3F">
        <w:rPr>
          <w:iCs/>
        </w:rPr>
        <w:t xml:space="preserve"> lub w dniu złożenia wniosku o dofinansowanie</w:t>
      </w:r>
      <w:r w:rsidRPr="00530C3F">
        <w:rPr>
          <w:iCs/>
        </w:rPr>
        <w:t>;</w:t>
      </w:r>
    </w:p>
    <w:p w14:paraId="333385E0" w14:textId="7B1771F9" w:rsidR="007531F3" w:rsidRPr="002A6C19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 xml:space="preserve">okres realizacji projektu nie może </w:t>
      </w:r>
      <w:r w:rsidR="002313D4" w:rsidRPr="002A6C19">
        <w:rPr>
          <w:iCs/>
        </w:rPr>
        <w:t>być dłuższy niż</w:t>
      </w:r>
      <w:r w:rsidRPr="002A6C19">
        <w:rPr>
          <w:iCs/>
        </w:rPr>
        <w:t xml:space="preserve"> </w:t>
      </w:r>
      <w:r w:rsidR="008F3BB9">
        <w:rPr>
          <w:iCs/>
        </w:rPr>
        <w:t>24</w:t>
      </w:r>
      <w:r w:rsidR="008F3BB9" w:rsidRPr="002A6C19">
        <w:rPr>
          <w:iCs/>
        </w:rPr>
        <w:t xml:space="preserve"> </w:t>
      </w:r>
      <w:r w:rsidR="00206CEB" w:rsidRPr="002A6C19">
        <w:rPr>
          <w:iCs/>
        </w:rPr>
        <w:t>miesi</w:t>
      </w:r>
      <w:r w:rsidR="00206CEB">
        <w:rPr>
          <w:iCs/>
        </w:rPr>
        <w:t>ą</w:t>
      </w:r>
      <w:r w:rsidR="00206CEB" w:rsidRPr="002A6C19">
        <w:rPr>
          <w:iCs/>
        </w:rPr>
        <w:t>ce</w:t>
      </w:r>
      <w:r w:rsidR="0097122A">
        <w:rPr>
          <w:iCs/>
        </w:rPr>
        <w:t>,</w:t>
      </w:r>
      <w:r w:rsidRPr="002A6C19">
        <w:rPr>
          <w:iCs/>
        </w:rPr>
        <w:t xml:space="preserve"> licząc od dnia rozpoczęcia </w:t>
      </w:r>
      <w:r w:rsidR="002313D4" w:rsidRPr="002A6C19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2A6C19">
        <w:rPr>
          <w:iCs/>
        </w:rPr>
        <w:t>okres realizacji projektu nie może wykraczać poza końcową datę okresu kwalifikowalności kosztów w ramach POPW, czy</w:t>
      </w:r>
      <w:r w:rsidR="004513FA">
        <w:rPr>
          <w:iCs/>
        </w:rPr>
        <w:t xml:space="preserve">li projekt nie może zakończyć się później niż </w:t>
      </w:r>
      <w:r w:rsidRPr="002A6C19">
        <w:rPr>
          <w:iCs/>
        </w:rPr>
        <w:t xml:space="preserve"> 31 grudnia 2023 r.</w:t>
      </w:r>
    </w:p>
    <w:p w14:paraId="05DDEA5F" w14:textId="1D572FE5" w:rsidR="00414F1A" w:rsidRPr="00B145C6" w:rsidRDefault="001E75CB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Maksymalna </w:t>
      </w:r>
      <w:r w:rsidR="009D41D6" w:rsidRPr="002E280E">
        <w:rPr>
          <w:rFonts w:eastAsiaTheme="minorHAnsi"/>
          <w:color w:val="000000"/>
          <w:lang w:eastAsia="en-US"/>
        </w:rPr>
        <w:t xml:space="preserve">kwota </w:t>
      </w:r>
      <w:r w:rsidRPr="002E280E">
        <w:rPr>
          <w:rFonts w:eastAsiaTheme="minorHAnsi"/>
          <w:color w:val="000000"/>
          <w:lang w:eastAsia="en-US"/>
        </w:rPr>
        <w:t>dofinansowania</w:t>
      </w:r>
      <w:r w:rsidR="00530C3F" w:rsidRPr="002E280E">
        <w:rPr>
          <w:rFonts w:eastAsiaTheme="minorHAnsi"/>
          <w:color w:val="000000"/>
          <w:lang w:eastAsia="en-US"/>
        </w:rPr>
        <w:t xml:space="preserve"> udziel</w:t>
      </w:r>
      <w:r w:rsidR="00473734" w:rsidRPr="002E280E">
        <w:rPr>
          <w:rFonts w:eastAsiaTheme="minorHAnsi"/>
          <w:color w:val="000000"/>
          <w:lang w:eastAsia="en-US"/>
        </w:rPr>
        <w:t>a</w:t>
      </w:r>
      <w:r w:rsidR="00530C3F" w:rsidRPr="002E280E">
        <w:rPr>
          <w:rFonts w:eastAsiaTheme="minorHAnsi"/>
          <w:color w:val="000000"/>
          <w:lang w:eastAsia="en-US"/>
        </w:rPr>
        <w:t>na jednemu Wnioskodawcy</w:t>
      </w:r>
      <w:r w:rsidR="00C22A1B" w:rsidRPr="002E280E">
        <w:rPr>
          <w:rFonts w:eastAsiaTheme="minorHAnsi"/>
          <w:color w:val="000000"/>
          <w:lang w:eastAsia="en-US"/>
        </w:rPr>
        <w:t xml:space="preserve"> na realizację projektu </w:t>
      </w:r>
      <w:r w:rsidRPr="002E280E">
        <w:rPr>
          <w:rFonts w:eastAsiaTheme="minorHAnsi"/>
          <w:color w:val="000000"/>
          <w:lang w:eastAsia="en-US"/>
        </w:rPr>
        <w:t xml:space="preserve">wynosi </w:t>
      </w:r>
      <w:r w:rsidR="005815AC" w:rsidRPr="002E280E">
        <w:rPr>
          <w:rFonts w:eastAsiaTheme="minorHAnsi"/>
          <w:color w:val="000000"/>
          <w:lang w:eastAsia="en-US"/>
        </w:rPr>
        <w:t>50</w:t>
      </w:r>
      <w:r w:rsidR="00206CEB">
        <w:rPr>
          <w:rFonts w:eastAsiaTheme="minorHAnsi"/>
          <w:color w:val="000000"/>
          <w:lang w:eastAsia="en-US"/>
        </w:rPr>
        <w:t>0</w:t>
      </w:r>
      <w:r w:rsidR="00CB3486">
        <w:rPr>
          <w:rFonts w:eastAsiaTheme="minorHAnsi"/>
          <w:color w:val="000000"/>
          <w:lang w:eastAsia="en-US"/>
        </w:rPr>
        <w:t> 000,00</w:t>
      </w:r>
      <w:r w:rsidR="005815AC" w:rsidRPr="002E280E">
        <w:rPr>
          <w:rFonts w:eastAsiaTheme="minorHAnsi"/>
          <w:color w:val="000000"/>
          <w:lang w:eastAsia="en-US"/>
        </w:rPr>
        <w:t xml:space="preserve"> </w:t>
      </w:r>
      <w:r w:rsidRPr="002E280E">
        <w:rPr>
          <w:rFonts w:eastAsiaTheme="minorHAnsi"/>
          <w:color w:val="000000"/>
          <w:lang w:eastAsia="en-US"/>
        </w:rPr>
        <w:t>zł</w:t>
      </w:r>
      <w:r w:rsidR="00CB3486">
        <w:rPr>
          <w:rFonts w:eastAsiaTheme="minorHAnsi"/>
          <w:color w:val="000000"/>
          <w:lang w:eastAsia="en-US"/>
        </w:rPr>
        <w:t xml:space="preserve"> (słownie: pięćset tysięcy złotych)</w:t>
      </w:r>
      <w:r w:rsidR="004D694F" w:rsidRPr="002E280E">
        <w:rPr>
          <w:rFonts w:eastAsiaTheme="minorHAnsi"/>
          <w:color w:val="000000"/>
          <w:lang w:eastAsia="en-US"/>
        </w:rPr>
        <w:t>.</w:t>
      </w:r>
    </w:p>
    <w:p w14:paraId="2D74FF1A" w14:textId="7D1D2BF1" w:rsidR="00DF741F" w:rsidRPr="00B145C6" w:rsidRDefault="00DF741F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206CEB">
        <w:rPr>
          <w:rFonts w:eastAsiaTheme="minorHAnsi"/>
          <w:color w:val="000000"/>
          <w:lang w:eastAsia="en-US"/>
        </w:rPr>
        <w:t xml:space="preserve">w przypadku pomocy de minimis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  <w:r w:rsidR="00A330BF">
        <w:rPr>
          <w:rFonts w:eastAsiaTheme="minorHAnsi"/>
          <w:color w:val="000000"/>
          <w:lang w:eastAsia="en-US"/>
        </w:rPr>
        <w:t>N</w:t>
      </w:r>
      <w:r w:rsidR="00206CEB">
        <w:rPr>
          <w:rFonts w:eastAsiaTheme="minorHAnsi"/>
          <w:color w:val="000000"/>
          <w:lang w:eastAsia="en-US"/>
        </w:rPr>
        <w:t>atomiast w odniesieniu do</w:t>
      </w:r>
      <w:r w:rsidR="00A330BF">
        <w:rPr>
          <w:rFonts w:eastAsiaTheme="minorHAnsi"/>
          <w:color w:val="000000"/>
          <w:lang w:eastAsia="en-US"/>
        </w:rPr>
        <w:t xml:space="preserve"> kategorii</w:t>
      </w:r>
      <w:r w:rsidR="00206CEB">
        <w:rPr>
          <w:rFonts w:eastAsiaTheme="minorHAnsi"/>
          <w:color w:val="000000"/>
          <w:lang w:eastAsia="en-US"/>
        </w:rPr>
        <w:t xml:space="preserve"> pomocy </w:t>
      </w:r>
      <w:r w:rsidR="00A54461">
        <w:rPr>
          <w:rFonts w:eastAsiaTheme="minorHAnsi"/>
          <w:color w:val="000000"/>
          <w:lang w:eastAsia="en-US"/>
        </w:rPr>
        <w:t>publicznej</w:t>
      </w:r>
      <w:r w:rsidR="007162B0">
        <w:rPr>
          <w:rFonts w:eastAsiaTheme="minorHAnsi"/>
          <w:color w:val="000000"/>
          <w:lang w:eastAsia="en-US"/>
        </w:rPr>
        <w:t>, o któr</w:t>
      </w:r>
      <w:r w:rsidR="00A330BF">
        <w:rPr>
          <w:rFonts w:eastAsiaTheme="minorHAnsi"/>
          <w:color w:val="000000"/>
          <w:lang w:eastAsia="en-US"/>
        </w:rPr>
        <w:t>ych</w:t>
      </w:r>
      <w:r w:rsidR="007162B0">
        <w:rPr>
          <w:rFonts w:eastAsiaTheme="minorHAnsi"/>
          <w:color w:val="000000"/>
          <w:lang w:eastAsia="en-US"/>
        </w:rPr>
        <w:t xml:space="preserve"> mowa w § 4 ust. 5</w:t>
      </w:r>
      <w:r w:rsidR="00DC7FEF">
        <w:rPr>
          <w:rFonts w:eastAsiaTheme="minorHAnsi"/>
          <w:color w:val="000000"/>
          <w:lang w:eastAsia="en-US"/>
        </w:rPr>
        <w:t>,</w:t>
      </w:r>
      <w:r w:rsidR="00A330BF">
        <w:rPr>
          <w:rFonts w:eastAsia="Calibri"/>
          <w:lang w:eastAsia="en-US"/>
        </w:rPr>
        <w:t xml:space="preserve"> maksymalna intensywność dofinansowania </w:t>
      </w:r>
      <w:r w:rsidR="00AA56C0">
        <w:rPr>
          <w:rFonts w:eastAsia="Calibri"/>
          <w:lang w:eastAsia="en-US"/>
        </w:rPr>
        <w:t>wynosi 50 % kosztów kwalifikowalnych</w:t>
      </w:r>
      <w:r w:rsidRPr="00B145C6">
        <w:rPr>
          <w:rFonts w:eastAsiaTheme="minorHAnsi"/>
          <w:color w:val="000000"/>
          <w:lang w:eastAsia="en-US"/>
        </w:rPr>
        <w:t>.</w:t>
      </w:r>
      <w:r w:rsidR="00CE6F4C">
        <w:rPr>
          <w:rFonts w:eastAsiaTheme="minorHAnsi"/>
          <w:color w:val="000000"/>
          <w:lang w:eastAsia="en-US"/>
        </w:rPr>
        <w:t xml:space="preserve"> </w:t>
      </w:r>
    </w:p>
    <w:p w14:paraId="3CC08518" w14:textId="0ADAC055" w:rsidR="00D05812" w:rsidRPr="00434884" w:rsidRDefault="009320A9" w:rsidP="00434884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Do kosztów kwalifikowalnych w zakresie pomocy </w:t>
      </w:r>
      <w:r w:rsidR="005815AC" w:rsidRPr="00B145C6">
        <w:rPr>
          <w:rFonts w:eastAsiaTheme="minorHAnsi"/>
          <w:color w:val="000000"/>
          <w:lang w:eastAsia="en-US"/>
        </w:rPr>
        <w:t>udzielanej w ramach I</w:t>
      </w:r>
      <w:r w:rsidR="00D05812">
        <w:rPr>
          <w:rFonts w:eastAsiaTheme="minorHAnsi"/>
          <w:color w:val="000000"/>
          <w:lang w:eastAsia="en-US"/>
        </w:rPr>
        <w:t>I</w:t>
      </w:r>
      <w:r w:rsidR="005815AC" w:rsidRPr="00B145C6">
        <w:rPr>
          <w:rFonts w:eastAsiaTheme="minorHAnsi"/>
          <w:color w:val="000000"/>
          <w:lang w:eastAsia="en-US"/>
        </w:rPr>
        <w:t xml:space="preserve"> Etapu działania </w:t>
      </w:r>
      <w:r w:rsidRPr="00B145C6">
        <w:rPr>
          <w:rFonts w:eastAsiaTheme="minorHAnsi"/>
          <w:color w:val="000000"/>
          <w:lang w:eastAsia="en-US"/>
        </w:rPr>
        <w:t>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w zakresie przygotowania do wdrożenia nowego modelu biznesowego opracowanego w I etapie obejmujące: </w:t>
      </w:r>
    </w:p>
    <w:p w14:paraId="40BEBC5D" w14:textId="77777777" w:rsidR="00D05812" w:rsidRPr="00D05812" w:rsidRDefault="00D05812" w:rsidP="00D05812">
      <w:pPr>
        <w:pStyle w:val="Akapitzlist"/>
        <w:spacing w:after="120" w:line="276" w:lineRule="auto"/>
        <w:ind w:left="425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1) koszty usług doradczych w zakresie: </w:t>
      </w:r>
    </w:p>
    <w:p w14:paraId="704D2309" w14:textId="09486F7F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wyszukiwania, selekcji, a następnie nawiązania kontaktów z partnerami zagranicznymi, </w:t>
      </w:r>
    </w:p>
    <w:p w14:paraId="67B35743" w14:textId="7BF490FF" w:rsidR="00D05812" w:rsidRPr="00434884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przygotowania produktu do potrzeb rynku docelowego (w tym m.in. badanie marketingowe na rynku docelowym), </w:t>
      </w:r>
    </w:p>
    <w:p w14:paraId="66279295" w14:textId="706B73A8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budowy kanałów dystrybucji i kanałów obsługi otoczenia formalno-prawnego umożliwiającego wejście na dany rynek zagraniczny, </w:t>
      </w:r>
    </w:p>
    <w:p w14:paraId="172F57E4" w14:textId="6540D8F5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przygotowania planu szczegółowej kampanii promocyjnej, projektowania materiałów reklamowych i promocyjnych, stron oraz aplikacji internetowych, </w:t>
      </w:r>
    </w:p>
    <w:p w14:paraId="0E4B7FAD" w14:textId="03D0229F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wzornictwa opakowań, projektowania katalogów i opisów technicznych produktów, projektowania logotypów i marek produktowych, </w:t>
      </w:r>
    </w:p>
    <w:p w14:paraId="016DCC05" w14:textId="62CCEBA7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uzyskania certyfikacji, akredytacji, koncesji lub innego typu dokumentów i praw niezbędnych dla prowadzenia działalności gospodarczej, sprzedaży produktów na docelowym rynku zagranicznym, </w:t>
      </w:r>
    </w:p>
    <w:p w14:paraId="6C3889D2" w14:textId="6A7940DA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tworzenia regulaminów usług, gwarancji produktowych i innych dokumentów niezbędnych dla wprowadzenia produktu na nowy rynek, </w:t>
      </w:r>
    </w:p>
    <w:p w14:paraId="500C2B5C" w14:textId="48B9ED92" w:rsidR="00D05812" w:rsidRPr="00D05812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3" w:hanging="426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uzyskania ochrony własności przemysłowej za granicą odnoszących się do produktów przeznaczonych do sprzedaży na rynkach zagranicznych, </w:t>
      </w:r>
    </w:p>
    <w:p w14:paraId="104F9C65" w14:textId="1FDBD5FA" w:rsidR="007B5855" w:rsidRPr="00434884" w:rsidRDefault="00D05812" w:rsidP="00434884">
      <w:pPr>
        <w:pStyle w:val="Akapitzlist"/>
        <w:numPr>
          <w:ilvl w:val="2"/>
          <w:numId w:val="41"/>
        </w:numPr>
        <w:spacing w:after="120" w:line="276" w:lineRule="auto"/>
        <w:ind w:left="992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D05812">
        <w:rPr>
          <w:rFonts w:eastAsiaTheme="minorHAnsi"/>
          <w:color w:val="000000"/>
          <w:lang w:eastAsia="en-US"/>
        </w:rPr>
        <w:t xml:space="preserve">pozyskania finansowania zewnętrznego na działalność eksportową ze źródeł niepublicznych, w tym w formie poręczeń i gwarancji w celu wprowadzenia produktu na nowy rynek; </w:t>
      </w:r>
    </w:p>
    <w:p w14:paraId="08EB7FD4" w14:textId="575B21A1" w:rsidR="00B72577" w:rsidRPr="00434884" w:rsidRDefault="007B5855" w:rsidP="00434884">
      <w:pPr>
        <w:pStyle w:val="Akapitzlist"/>
        <w:numPr>
          <w:ilvl w:val="0"/>
          <w:numId w:val="55"/>
        </w:numPr>
        <w:spacing w:after="120"/>
        <w:ind w:left="851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koszty doradztwa oraz zakupu wartości niematerialnych i prawnych w formie autorskich praw majątkowych lub licencji, związanych z nabyciem oprogramowania niezbędnego do automatyzacji procesów biznesowych w związku z przygotowaniem do internacjonalizacji działalności, w tym w szczególności: </w:t>
      </w:r>
    </w:p>
    <w:p w14:paraId="0FC3D03C" w14:textId="1A6805E6" w:rsidR="007B5855" w:rsidRPr="00434884" w:rsidRDefault="007B5855" w:rsidP="00434884">
      <w:pPr>
        <w:pStyle w:val="Akapitzlist"/>
        <w:numPr>
          <w:ilvl w:val="0"/>
          <w:numId w:val="43"/>
        </w:numPr>
        <w:spacing w:after="120" w:line="276" w:lineRule="auto"/>
        <w:ind w:left="993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projektowanie systemów oraz narzędzi teleinformatycznych, </w:t>
      </w:r>
    </w:p>
    <w:p w14:paraId="66184697" w14:textId="23B6FC55" w:rsidR="007B5855" w:rsidRPr="00434884" w:rsidRDefault="007B5855" w:rsidP="00434884">
      <w:pPr>
        <w:pStyle w:val="Akapitzlist"/>
        <w:numPr>
          <w:ilvl w:val="0"/>
          <w:numId w:val="43"/>
        </w:numPr>
        <w:spacing w:after="120" w:line="276" w:lineRule="auto"/>
        <w:ind w:left="993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zakup niezbędnego oprogramowania, </w:t>
      </w:r>
    </w:p>
    <w:p w14:paraId="4C5902EB" w14:textId="3B6437BB" w:rsidR="007B5855" w:rsidRPr="00434884" w:rsidRDefault="007B5855" w:rsidP="00434884">
      <w:pPr>
        <w:pStyle w:val="Akapitzlist"/>
        <w:numPr>
          <w:ilvl w:val="0"/>
          <w:numId w:val="43"/>
        </w:numPr>
        <w:spacing w:before="120" w:after="120" w:line="276" w:lineRule="auto"/>
        <w:ind w:left="992" w:hanging="357"/>
        <w:contextualSpacing w:val="0"/>
        <w:jc w:val="both"/>
        <w:rPr>
          <w:rFonts w:eastAsiaTheme="minorHAnsi"/>
          <w:color w:val="000000"/>
          <w:lang w:eastAsia="en-US"/>
        </w:rPr>
      </w:pPr>
      <w:r w:rsidRPr="00434884">
        <w:rPr>
          <w:rFonts w:eastAsiaTheme="minorHAnsi"/>
          <w:color w:val="000000"/>
          <w:lang w:eastAsia="en-US"/>
        </w:rPr>
        <w:t xml:space="preserve">doradztwo w zakresie przygotowania przedsiębiorstwa do wdrożenia zakupionego oprogramowania systemów oraz narzędzi teleinformatycznych. </w:t>
      </w:r>
    </w:p>
    <w:p w14:paraId="15FCB1D6" w14:textId="19A321A9" w:rsidR="007B5855" w:rsidRPr="00434884" w:rsidRDefault="007B5855" w:rsidP="00434884">
      <w:pPr>
        <w:pStyle w:val="Akapitzlist"/>
        <w:spacing w:after="120" w:line="276" w:lineRule="auto"/>
        <w:ind w:left="425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Łączna wartość kosztów kwalifikowalnych, o których mowa w pkt 2 </w:t>
      </w:r>
      <w:r w:rsidR="00FD29E3">
        <w:rPr>
          <w:rFonts w:eastAsiaTheme="minorHAnsi"/>
          <w:color w:val="000000"/>
          <w:lang w:eastAsia="en-US"/>
        </w:rPr>
        <w:t>nie może przekracz</w:t>
      </w:r>
      <w:r w:rsidR="00AE03D7">
        <w:rPr>
          <w:rFonts w:eastAsiaTheme="minorHAnsi"/>
          <w:color w:val="000000"/>
          <w:lang w:eastAsia="en-US"/>
        </w:rPr>
        <w:t>a</w:t>
      </w:r>
      <w:r w:rsidR="00FD29E3">
        <w:rPr>
          <w:rFonts w:eastAsiaTheme="minorHAnsi"/>
          <w:color w:val="000000"/>
          <w:lang w:eastAsia="en-US"/>
        </w:rPr>
        <w:t xml:space="preserve">ć </w:t>
      </w:r>
      <w:r w:rsidRPr="007B5855">
        <w:rPr>
          <w:rFonts w:eastAsiaTheme="minorHAnsi"/>
          <w:color w:val="000000"/>
          <w:lang w:eastAsia="en-US"/>
        </w:rPr>
        <w:t>20% kosztów kwalifikowalnych projektu;</w:t>
      </w:r>
    </w:p>
    <w:p w14:paraId="1A3F1F55" w14:textId="77777777" w:rsidR="007B5855" w:rsidRPr="007B5855" w:rsidRDefault="007B5855" w:rsidP="007B5855">
      <w:pPr>
        <w:pStyle w:val="Akapitzlist"/>
        <w:spacing w:after="120" w:line="276" w:lineRule="auto"/>
        <w:ind w:left="425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3) koszty udziału w międzynarodowych targach, wystawach lub misjach gospodarczych, obejmujące: </w:t>
      </w:r>
    </w:p>
    <w:p w14:paraId="02A1C963" w14:textId="1ACB8F96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wynajęcie i zabudowę powierzchni wystawienniczej, </w:t>
      </w:r>
    </w:p>
    <w:p w14:paraId="13B795B6" w14:textId="0E503F51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obsługi technicznej stoiska, </w:t>
      </w:r>
    </w:p>
    <w:p w14:paraId="04F72A2F" w14:textId="3799C764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transportu eksponatów oraz elementów zabudowy wraz z ubezpieczeniem, odprawą celną i kosztami spedycji, </w:t>
      </w:r>
    </w:p>
    <w:p w14:paraId="5EEFD6B1" w14:textId="4A703CAA" w:rsidR="007B5855" w:rsidRPr="00434884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>podróże służbowe trzech osób uczestniczących w realizacji projektu, w okresie nie dłuższym niż dwa dni (a w przypadku misji – jeden dzień) przed rozpoczęciem i jeden dzień po zakończeniu imprezy targowo – wystawienniczej lub misji, według stawek określonych w przepisach</w:t>
      </w:r>
      <w:r w:rsidR="00892A7A"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7B5855">
        <w:rPr>
          <w:rFonts w:eastAsiaTheme="minorHAnsi"/>
          <w:color w:val="000000"/>
          <w:lang w:eastAsia="en-US"/>
        </w:rPr>
        <w:t xml:space="preserve"> o wysokości oraz warunkach ustalania należności przysługujących pracownikowi </w:t>
      </w:r>
      <w:r w:rsidRPr="00434884">
        <w:rPr>
          <w:rFonts w:eastAsiaTheme="minorHAnsi"/>
          <w:color w:val="000000"/>
          <w:lang w:eastAsia="en-US"/>
        </w:rPr>
        <w:t xml:space="preserve">zatrudnionemu w państwowej lub samorządowej jednostce sfery budżetowej z tytułu podróży służbowej poza granicami kraju, </w:t>
      </w:r>
    </w:p>
    <w:p w14:paraId="320C3D3C" w14:textId="3BA28291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opłaty związane z uzyskaniem niezbędnych wiz oraz ubezpieczeniem dla osób uczestniczących w realizacji projektu, </w:t>
      </w:r>
    </w:p>
    <w:p w14:paraId="1A960715" w14:textId="6477B99C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wpis do katalogu targowego, </w:t>
      </w:r>
    </w:p>
    <w:p w14:paraId="089A73C5" w14:textId="601873B5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opłata rejestracyjna oraz reklama w mediach targowych, </w:t>
      </w:r>
    </w:p>
    <w:p w14:paraId="2857F674" w14:textId="251BBF05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doradczych w zakresie promocji podczas zagranicznych targów i wystaw, </w:t>
      </w:r>
    </w:p>
    <w:p w14:paraId="51968839" w14:textId="347BFB9C" w:rsidR="007B5855" w:rsidRPr="007B5855" w:rsidRDefault="007B5855" w:rsidP="00434884">
      <w:pPr>
        <w:pStyle w:val="Akapitzlist"/>
        <w:numPr>
          <w:ilvl w:val="2"/>
          <w:numId w:val="45"/>
        </w:numPr>
        <w:spacing w:after="120" w:line="276" w:lineRule="auto"/>
        <w:ind w:left="851" w:hanging="284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zakup usług w zakresie organizacji spotkań z potencjalnymi partnerami handlowymi w ramach udziału w targach lub misjach, </w:t>
      </w:r>
    </w:p>
    <w:p w14:paraId="16F4C282" w14:textId="2013B9F0" w:rsidR="007B5855" w:rsidRPr="007B5855" w:rsidRDefault="007B5855" w:rsidP="00434884">
      <w:pPr>
        <w:pStyle w:val="Akapitzlist"/>
        <w:numPr>
          <w:ilvl w:val="2"/>
          <w:numId w:val="45"/>
        </w:numPr>
        <w:spacing w:before="120" w:after="120" w:line="276" w:lineRule="auto"/>
        <w:ind w:left="851" w:hanging="284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>zakup usługi pole</w:t>
      </w:r>
      <w:r w:rsidR="00C67D01">
        <w:rPr>
          <w:rFonts w:eastAsiaTheme="minorHAnsi"/>
          <w:color w:val="000000"/>
          <w:lang w:eastAsia="en-US"/>
        </w:rPr>
        <w:t>gającej na zorganizowaniu misji.</w:t>
      </w:r>
      <w:r w:rsidRPr="007B5855">
        <w:rPr>
          <w:rFonts w:eastAsiaTheme="minorHAnsi"/>
          <w:color w:val="000000"/>
          <w:lang w:eastAsia="en-US"/>
        </w:rPr>
        <w:t xml:space="preserve"> </w:t>
      </w:r>
    </w:p>
    <w:p w14:paraId="45393B97" w14:textId="4F8F7FC4" w:rsidR="007B5855" w:rsidRDefault="007B5855" w:rsidP="00434884">
      <w:pPr>
        <w:pStyle w:val="Akapitzlist"/>
        <w:spacing w:before="120" w:after="120" w:line="276" w:lineRule="auto"/>
        <w:ind w:left="425"/>
        <w:contextualSpacing w:val="0"/>
        <w:jc w:val="both"/>
        <w:rPr>
          <w:rFonts w:eastAsiaTheme="minorHAnsi"/>
          <w:color w:val="000000"/>
          <w:lang w:eastAsia="en-US"/>
        </w:rPr>
      </w:pPr>
      <w:r w:rsidRPr="007B5855">
        <w:rPr>
          <w:rFonts w:eastAsiaTheme="minorHAnsi"/>
          <w:color w:val="000000"/>
          <w:lang w:eastAsia="en-US"/>
        </w:rPr>
        <w:t xml:space="preserve">Łączna wartość kosztów kwalifikowalnych, o których mowa w pkt 3 </w:t>
      </w:r>
      <w:r w:rsidR="00FD29E3">
        <w:rPr>
          <w:rFonts w:eastAsiaTheme="minorHAnsi"/>
          <w:color w:val="000000"/>
          <w:lang w:eastAsia="en-US"/>
        </w:rPr>
        <w:t xml:space="preserve">nie </w:t>
      </w:r>
      <w:r w:rsidRPr="007B5855">
        <w:rPr>
          <w:rFonts w:eastAsiaTheme="minorHAnsi"/>
          <w:color w:val="000000"/>
          <w:lang w:eastAsia="en-US"/>
        </w:rPr>
        <w:t xml:space="preserve">może </w:t>
      </w:r>
      <w:r w:rsidR="00FD29E3">
        <w:rPr>
          <w:rFonts w:eastAsiaTheme="minorHAnsi"/>
          <w:color w:val="000000"/>
          <w:lang w:eastAsia="en-US"/>
        </w:rPr>
        <w:t>przekracz</w:t>
      </w:r>
      <w:r w:rsidR="00DD10EB">
        <w:rPr>
          <w:rFonts w:eastAsiaTheme="minorHAnsi"/>
          <w:color w:val="000000"/>
          <w:lang w:eastAsia="en-US"/>
        </w:rPr>
        <w:t>a</w:t>
      </w:r>
      <w:r w:rsidR="00FD29E3">
        <w:rPr>
          <w:rFonts w:eastAsiaTheme="minorHAnsi"/>
          <w:color w:val="000000"/>
          <w:lang w:eastAsia="en-US"/>
        </w:rPr>
        <w:t>ć</w:t>
      </w:r>
      <w:r w:rsidR="006B4F0C">
        <w:rPr>
          <w:rFonts w:eastAsiaTheme="minorHAnsi"/>
          <w:color w:val="000000"/>
          <w:lang w:eastAsia="en-US"/>
        </w:rPr>
        <w:t xml:space="preserve"> </w:t>
      </w:r>
      <w:r w:rsidRPr="007B5855">
        <w:rPr>
          <w:rFonts w:eastAsiaTheme="minorHAnsi"/>
          <w:color w:val="000000"/>
          <w:lang w:eastAsia="en-US"/>
        </w:rPr>
        <w:t>20% kosztów kwalifikowalnych projektu.</w:t>
      </w:r>
    </w:p>
    <w:p w14:paraId="3D909FC3" w14:textId="20A461E6" w:rsidR="00EA12AA" w:rsidRPr="003F2B3A" w:rsidRDefault="007B5855" w:rsidP="003F2B3A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3F2B3A">
        <w:t xml:space="preserve">W przypadku udzielenia pomocy de minimis kwalifikowalne są koszty, o których mowa w </w:t>
      </w:r>
      <w:r w:rsidR="00911805">
        <w:t xml:space="preserve"> ust. 4 </w:t>
      </w:r>
      <w:r w:rsidR="00017E12" w:rsidRPr="003F2B3A">
        <w:t>pkt 1-3</w:t>
      </w:r>
      <w:r w:rsidRPr="003F2B3A">
        <w:t xml:space="preserve">. </w:t>
      </w:r>
    </w:p>
    <w:p w14:paraId="7508D7E7" w14:textId="54EE60C6" w:rsidR="00EA12AA" w:rsidRPr="00787BF8" w:rsidRDefault="00017E12" w:rsidP="003F2B3A">
      <w:pPr>
        <w:pStyle w:val="Akapitzlist"/>
        <w:spacing w:before="120" w:after="120" w:line="276" w:lineRule="auto"/>
        <w:ind w:left="425"/>
        <w:contextualSpacing w:val="0"/>
        <w:jc w:val="both"/>
      </w:pPr>
      <w:r w:rsidRPr="003F2B3A">
        <w:t xml:space="preserve">W przypadku udzielenia pomocy </w:t>
      </w:r>
      <w:r w:rsidRPr="00A80926">
        <w:t>na usługi doradcze na rzecz MŚP</w:t>
      </w:r>
      <w:r w:rsidRPr="003F2B3A">
        <w:t xml:space="preserve">, o której mowa w § 4 ust. 5 pkt 1, do kwalifikowalnych zalicza się koszty, o których mowa w </w:t>
      </w:r>
      <w:r w:rsidR="00911805">
        <w:t xml:space="preserve">ust. 4 </w:t>
      </w:r>
      <w:r w:rsidRPr="00787BF8">
        <w:t xml:space="preserve">pkt 1. </w:t>
      </w:r>
    </w:p>
    <w:p w14:paraId="7C12E2C5" w14:textId="580360F9" w:rsidR="00855F43" w:rsidRPr="00787BF8" w:rsidRDefault="007B5855" w:rsidP="003F2B3A">
      <w:pPr>
        <w:pStyle w:val="Akapitzlist"/>
        <w:spacing w:before="120" w:after="120" w:line="276" w:lineRule="auto"/>
        <w:ind w:left="425"/>
        <w:contextualSpacing w:val="0"/>
        <w:jc w:val="both"/>
      </w:pPr>
      <w:r w:rsidRPr="00787BF8">
        <w:t>W przypadku udzielenia pomocy na udział MŚP w targach</w:t>
      </w:r>
      <w:r w:rsidR="00017E12" w:rsidRPr="00787BF8">
        <w:t>, o której mowa w § 4 ust. 5 pkt. 2,</w:t>
      </w:r>
      <w:r w:rsidRPr="00787BF8">
        <w:t xml:space="preserve"> do kwalifikowalnych zalicza się koszty, o których mowa w</w:t>
      </w:r>
      <w:r w:rsidR="00CE7154">
        <w:t xml:space="preserve"> ust 4</w:t>
      </w:r>
      <w:r w:rsidR="00017E12" w:rsidRPr="00787BF8">
        <w:t xml:space="preserve"> pkt </w:t>
      </w:r>
      <w:r w:rsidR="00CE7154" w:rsidRPr="00CE7154">
        <w:t>3</w:t>
      </w:r>
      <w:r w:rsidRPr="00787BF8">
        <w:t xml:space="preserve"> lit. a-g.</w:t>
      </w:r>
      <w:r w:rsidR="00CE6F4C" w:rsidRPr="00787BF8">
        <w:t xml:space="preserve"> </w:t>
      </w:r>
    </w:p>
    <w:p w14:paraId="78B1BCF6" w14:textId="14D80AA1" w:rsidR="000057FD" w:rsidRDefault="00CE6F4C" w:rsidP="000057FD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CE6F4C">
        <w:t>Nie jest możliwe jednoczesne dofinasowanie usług doradczych na zasadach</w:t>
      </w:r>
      <w:r w:rsidR="000057FD">
        <w:t xml:space="preserve"> pomocy</w:t>
      </w:r>
      <w:r w:rsidRPr="00CE6F4C">
        <w:t xml:space="preserve"> </w:t>
      </w:r>
      <w:r w:rsidRPr="00CE6F4C">
        <w:rPr>
          <w:i/>
        </w:rPr>
        <w:t>de minimis</w:t>
      </w:r>
      <w:r w:rsidRPr="00CE6F4C">
        <w:t xml:space="preserve"> oraz jako pomocy publicznej na usługi doradcze dla MŚP (typ pomocy dla doradztwa musi być jednolity dla całego projektu).  </w:t>
      </w:r>
    </w:p>
    <w:p w14:paraId="66FB8F50" w14:textId="42AF8D5A" w:rsidR="00CE6F4C" w:rsidRPr="00CE6F4C" w:rsidRDefault="00CE6F4C" w:rsidP="000057FD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</w:pPr>
      <w:r w:rsidRPr="00CE6F4C">
        <w:t xml:space="preserve">Nie dopuszcza się wnioskowania o dofinasowanie kosztów udziału w imprezie targowej lub wystawienniczej częściowo na zasadach </w:t>
      </w:r>
      <w:r w:rsidR="000057FD">
        <w:t xml:space="preserve">pomocy </w:t>
      </w:r>
      <w:r w:rsidRPr="00CE6F4C">
        <w:rPr>
          <w:i/>
        </w:rPr>
        <w:t>de minimis</w:t>
      </w:r>
      <w:r w:rsidRPr="00CE6F4C">
        <w:t xml:space="preserve"> oraz częściowo jako pomocy na udział MŚP w targach (czyli w ramach jednego zadania).</w:t>
      </w:r>
    </w:p>
    <w:p w14:paraId="733D9A39" w14:textId="03576F9F" w:rsidR="00C65D9D" w:rsidRDefault="00C65D9D" w:rsidP="00434884">
      <w:pPr>
        <w:pStyle w:val="Akapitzlist"/>
        <w:numPr>
          <w:ilvl w:val="0"/>
          <w:numId w:val="34"/>
        </w:numPr>
        <w:spacing w:before="120"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8B4338">
        <w:rPr>
          <w:iCs/>
        </w:rPr>
        <w:t xml:space="preserve">Usługi doradcze nie mogą mieć charakteru ciągłego </w:t>
      </w:r>
      <w:r w:rsidRPr="00FE002E">
        <w:rPr>
          <w:iCs/>
        </w:rPr>
        <w:t>ani okresowego</w:t>
      </w:r>
      <w:r w:rsidRPr="008B4338">
        <w:rPr>
          <w:iCs/>
        </w:rPr>
        <w:t xml:space="preserve"> oraz nie mogą być związane z bieżącą działalnością </w:t>
      </w:r>
      <w:r w:rsidRPr="00106084">
        <w:rPr>
          <w:iCs/>
        </w:rPr>
        <w:t>operacyjną MŚP, w szczególności w zakresie doradztwa podatkowego, stałej obsługi prawnej lub reklamy</w:t>
      </w:r>
      <w:r w:rsidRPr="00B72577">
        <w:rPr>
          <w:iCs/>
        </w:rPr>
        <w:t>.</w:t>
      </w:r>
      <w:r w:rsidR="00B72577">
        <w:rPr>
          <w:iCs/>
        </w:rPr>
        <w:t xml:space="preserve"> Usługi świadczone przez doradców zewnętrznych nie mogą również </w:t>
      </w:r>
      <w:r w:rsidR="00C353A0">
        <w:rPr>
          <w:iCs/>
        </w:rPr>
        <w:t xml:space="preserve">obejmować </w:t>
      </w:r>
      <w:r w:rsidR="00B72577">
        <w:rPr>
          <w:iCs/>
        </w:rPr>
        <w:t xml:space="preserve">swoim zakresem usług, które </w:t>
      </w:r>
      <w:r w:rsidR="00CE7154">
        <w:rPr>
          <w:iCs/>
        </w:rPr>
        <w:t>wnioskodawca</w:t>
      </w:r>
      <w:r w:rsidR="00B72577">
        <w:rPr>
          <w:iCs/>
        </w:rPr>
        <w:t xml:space="preserve"> świadczy w ramach prowadzonej przez siebie działalności gospodarczej związanej z doradztwem.</w:t>
      </w:r>
    </w:p>
    <w:p w14:paraId="3C33B863" w14:textId="6D27C4DC" w:rsidR="00C348FD" w:rsidRPr="002E280E" w:rsidRDefault="00C348FD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2E280E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2E280E">
        <w:rPr>
          <w:rFonts w:eastAsiaTheme="minorHAnsi"/>
          <w:color w:val="000000"/>
          <w:lang w:eastAsia="en-US"/>
        </w:rPr>
        <w:t>w szczególności</w:t>
      </w:r>
      <w:r w:rsidRPr="002E280E">
        <w:rPr>
          <w:rFonts w:eastAsiaTheme="minorHAnsi"/>
          <w:color w:val="000000"/>
          <w:lang w:eastAsia="en-US"/>
        </w:rPr>
        <w:t xml:space="preserve"> w art. 6c ustawy </w:t>
      </w:r>
      <w:r w:rsidR="005D0542" w:rsidRPr="002E280E">
        <w:rPr>
          <w:rFonts w:eastAsiaTheme="minorHAnsi"/>
          <w:color w:val="000000"/>
          <w:lang w:eastAsia="en-US"/>
        </w:rPr>
        <w:t>o PARP</w:t>
      </w:r>
      <w:r w:rsidR="004F69E7" w:rsidRPr="002E280E">
        <w:rPr>
          <w:rFonts w:eastAsiaTheme="minorHAnsi"/>
          <w:color w:val="000000"/>
          <w:lang w:eastAsia="en-US"/>
        </w:rPr>
        <w:t xml:space="preserve">, w </w:t>
      </w:r>
      <w:r w:rsidRPr="002E280E">
        <w:rPr>
          <w:rFonts w:eastAsiaTheme="minorHAnsi"/>
          <w:color w:val="000000"/>
          <w:lang w:eastAsia="en-US"/>
        </w:rPr>
        <w:t xml:space="preserve">§ </w:t>
      </w:r>
      <w:r w:rsidR="00F67589" w:rsidRPr="002E280E">
        <w:rPr>
          <w:rFonts w:eastAsiaTheme="minorHAnsi"/>
          <w:color w:val="000000"/>
          <w:lang w:eastAsia="en-US"/>
        </w:rPr>
        <w:t>8</w:t>
      </w:r>
      <w:r w:rsidRPr="002E280E">
        <w:rPr>
          <w:rFonts w:eastAsiaTheme="minorHAnsi"/>
          <w:color w:val="000000"/>
          <w:lang w:eastAsia="en-US"/>
        </w:rPr>
        <w:t xml:space="preserve"> </w:t>
      </w:r>
      <w:r w:rsidR="006430DE" w:rsidRPr="002E280E">
        <w:rPr>
          <w:rFonts w:eastAsiaTheme="minorHAnsi"/>
          <w:color w:val="000000"/>
          <w:lang w:eastAsia="en-US"/>
        </w:rPr>
        <w:t>rozporządzenia</w:t>
      </w:r>
      <w:r w:rsidR="004F69E7" w:rsidRPr="002E280E">
        <w:rPr>
          <w:rFonts w:eastAsiaTheme="minorHAnsi"/>
          <w:color w:val="000000"/>
          <w:lang w:eastAsia="en-US"/>
        </w:rPr>
        <w:t>,</w:t>
      </w:r>
      <w:r w:rsidR="008D7196" w:rsidRPr="002E280E">
        <w:rPr>
          <w:rFonts w:eastAsiaTheme="minorHAnsi"/>
          <w:color w:val="000000"/>
          <w:lang w:eastAsia="en-US"/>
        </w:rPr>
        <w:t xml:space="preserve"> </w:t>
      </w:r>
      <w:r w:rsidR="006434C6" w:rsidRPr="002E280E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2E280E">
        <w:rPr>
          <w:rFonts w:eastAsiaTheme="minorHAnsi"/>
          <w:color w:val="000000"/>
          <w:lang w:eastAsia="en-US"/>
        </w:rPr>
        <w:t>,</w:t>
      </w:r>
      <w:r w:rsidR="004F69E7" w:rsidRPr="002E280E">
        <w:rPr>
          <w:rFonts w:eastAsiaTheme="minorHAnsi"/>
          <w:color w:val="000000"/>
          <w:lang w:eastAsia="en-US"/>
        </w:rPr>
        <w:t xml:space="preserve"> w wytycznych</w:t>
      </w:r>
      <w:r w:rsidR="00C22A1B" w:rsidRPr="002E280E">
        <w:rPr>
          <w:rFonts w:eastAsiaTheme="minorHAnsi"/>
          <w:color w:val="000000"/>
          <w:lang w:eastAsia="en-US"/>
        </w:rPr>
        <w:t xml:space="preserve"> horyzontalnych</w:t>
      </w:r>
      <w:r w:rsidR="004F69E7" w:rsidRPr="002E280E">
        <w:rPr>
          <w:rFonts w:eastAsiaTheme="minorHAnsi"/>
          <w:color w:val="000000"/>
          <w:lang w:eastAsia="en-US"/>
        </w:rPr>
        <w:t xml:space="preserve"> w zakresie kwalifikowalności</w:t>
      </w:r>
      <w:r w:rsidR="00876AEC">
        <w:rPr>
          <w:rFonts w:eastAsiaTheme="minorHAnsi"/>
          <w:color w:val="000000"/>
          <w:lang w:eastAsia="en-US"/>
        </w:rPr>
        <w:t xml:space="preserve"> </w:t>
      </w:r>
      <w:r w:rsidR="004F69E7" w:rsidRPr="002E280E">
        <w:rPr>
          <w:rFonts w:eastAsiaTheme="minorHAnsi"/>
          <w:color w:val="000000"/>
          <w:lang w:eastAsia="en-US"/>
        </w:rPr>
        <w:t xml:space="preserve">oraz </w:t>
      </w:r>
      <w:r w:rsidR="000D4100" w:rsidRPr="002E280E">
        <w:rPr>
          <w:rFonts w:eastAsiaTheme="minorHAnsi"/>
          <w:color w:val="000000"/>
          <w:lang w:eastAsia="en-US"/>
        </w:rPr>
        <w:t xml:space="preserve">w </w:t>
      </w:r>
      <w:r w:rsidR="004F69E7" w:rsidRPr="002E280E">
        <w:rPr>
          <w:rFonts w:eastAsiaTheme="minorHAnsi"/>
          <w:color w:val="000000"/>
          <w:lang w:eastAsia="en-US"/>
        </w:rPr>
        <w:t xml:space="preserve">wytycznych </w:t>
      </w:r>
      <w:r w:rsidR="0008191A">
        <w:rPr>
          <w:rFonts w:eastAsiaTheme="minorHAnsi"/>
          <w:color w:val="000000"/>
          <w:lang w:eastAsia="en-US"/>
        </w:rPr>
        <w:t>POPW</w:t>
      </w:r>
      <w:r w:rsidR="006430DE" w:rsidRPr="002E280E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711C6C9A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 xml:space="preserve">Warunkiem uznania, że wniosek o dofinansowanie został złożony do PARP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</w:t>
      </w:r>
      <w:r w:rsidR="00E958E8">
        <w:t>,</w:t>
      </w:r>
      <w:r w:rsidR="00D201EE" w:rsidRPr="00E63EB0">
        <w:t xml:space="preserve"> z </w:t>
      </w:r>
      <w:proofErr w:type="spellStart"/>
      <w:r w:rsidR="00D201EE" w:rsidRPr="00E63EB0">
        <w:t>późn</w:t>
      </w:r>
      <w:proofErr w:type="spellEnd"/>
      <w:r w:rsidR="00D201EE" w:rsidRPr="00E63EB0">
        <w:t>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>st zobowiązany do załączenia w Generatorze W</w:t>
      </w:r>
      <w:r w:rsidR="00886907">
        <w:rPr>
          <w:rFonts w:eastAsia="Calibri"/>
          <w:bCs/>
        </w:rPr>
        <w:t>niosków skanu oświadczenia, zgodnego z treścią załącznika nr 4 do regulaminu, podpisanego przez osobę lub osoby upoważnione do reprezentowania wnioskodawcy (wraz ze skanem pełnomocnictwa lub innego dokumentu poświadczającego umocowanie osoby albo osób składających podpisy do reprezentowania wnioskodawcy – jeśli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6812CF39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złożeniu wniosku </w:t>
      </w:r>
      <w:r w:rsidR="006E16F5">
        <w:rPr>
          <w:rFonts w:eastAsia="Calibri"/>
          <w:bCs/>
        </w:rPr>
        <w:t xml:space="preserve">o dofinansowanie </w:t>
      </w:r>
      <w:r w:rsidR="00E6089A">
        <w:rPr>
          <w:rFonts w:eastAsia="Calibri"/>
          <w:bCs/>
        </w:rPr>
        <w:t>w Generatorze Wniosków</w:t>
      </w:r>
      <w:r w:rsidR="006434C6">
        <w:rPr>
          <w:rFonts w:eastAsia="Calibri"/>
          <w:bCs/>
        </w:rPr>
        <w:t xml:space="preserve">, </w:t>
      </w:r>
      <w:r w:rsidR="00E6089A">
        <w:rPr>
          <w:rFonts w:eastAsia="Calibri"/>
          <w:bCs/>
        </w:rPr>
        <w:t xml:space="preserve">które wnioskodawca jest zobowiązany podpisać i złożyć zgodnie z trybem określonym w ust. 7 </w:t>
      </w:r>
      <w:r w:rsidRPr="00B82F58">
        <w:rPr>
          <w:rFonts w:eastAsia="Calibri"/>
          <w:bCs/>
        </w:rPr>
        <w:t>będzie</w:t>
      </w:r>
      <w:r w:rsidRPr="00FB244F">
        <w:rPr>
          <w:rFonts w:eastAsia="Calibri"/>
          <w:bCs/>
        </w:rPr>
        <w:t xml:space="preserve"> dostępne w Generatorze Wniosków </w:t>
      </w:r>
      <w:r>
        <w:rPr>
          <w:rFonts w:eastAsia="Calibri"/>
          <w:bCs/>
        </w:rPr>
        <w:t>po naciśnięciu przycisku „Złóż wniosek”</w:t>
      </w:r>
      <w:r w:rsidR="006E16F5">
        <w:rPr>
          <w:rFonts w:eastAsia="Calibri"/>
          <w:bCs/>
        </w:rPr>
        <w:t xml:space="preserve"> w Generatorze Wniosków</w:t>
      </w:r>
      <w:r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t xml:space="preserve">Po załączeniu skanu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>do reprezentowania wnioskodawcy – jeśli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na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ul.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70FC1F0E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 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 xml:space="preserve">za pośrednictwem platformy usług administracji publicznej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 xml:space="preserve"> z wykorzystaniem bezpiecznego podpisu elektronicznego weryfikowanego przy pomocy ważnego kwalifikowanego certyfikatu albo podpisu potwierdzonego profilem zaufanym </w:t>
      </w:r>
      <w:proofErr w:type="spellStart"/>
      <w:r w:rsidRPr="0050039A">
        <w:rPr>
          <w:rFonts w:eastAsia="Calibri"/>
          <w:bCs/>
        </w:rPr>
        <w:t>ePUAP</w:t>
      </w:r>
      <w:proofErr w:type="spellEnd"/>
      <w:r w:rsidRPr="0050039A">
        <w:rPr>
          <w:rFonts w:eastAsia="Calibri"/>
          <w:bCs/>
        </w:rPr>
        <w:t>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00FAE0EA" w14:textId="319F89F2" w:rsidR="00E6089A" w:rsidRPr="00EC2708" w:rsidRDefault="00E6089A" w:rsidP="00F74999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t xml:space="preserve">Jeżeli </w:t>
      </w:r>
      <w:r w:rsidRPr="00CD0AA3">
        <w:rPr>
          <w:b/>
        </w:rPr>
        <w:t>w terminie 2 dni roboczych</w:t>
      </w:r>
      <w:r w:rsidRPr="00CD0AA3">
        <w:t xml:space="preserve"> </w:t>
      </w:r>
      <w:r w:rsidRPr="00CD0AA3">
        <w:rPr>
          <w:bCs/>
        </w:rPr>
        <w:t>od</w:t>
      </w:r>
      <w:r w:rsidRPr="00CD0AA3">
        <w:t xml:space="preserve"> dnia złożenia wniosku o dofinansowanie </w:t>
      </w:r>
      <w:r w:rsidRPr="00CD0AA3">
        <w:br/>
        <w:t>w Generatorze Wniosków wnioskodawca nie dokona formalnego potwierdzenia złożenia wniosku o dofinansowanie,</w:t>
      </w:r>
      <w:r>
        <w:t xml:space="preserve"> </w:t>
      </w:r>
      <w:r w:rsidR="008C6036">
        <w:t xml:space="preserve">poprzez załączenie w </w:t>
      </w:r>
      <w:r w:rsidR="00DD10EB">
        <w:t>G</w:t>
      </w:r>
      <w:r w:rsidR="008C6036">
        <w:t xml:space="preserve">eneratorze </w:t>
      </w:r>
      <w:r w:rsidR="00DD10EB">
        <w:t>W</w:t>
      </w:r>
      <w:r w:rsidR="008C6036">
        <w:t>niosków skanu oświadczenia,</w:t>
      </w:r>
      <w:r w:rsidR="008C6036" w:rsidRPr="00771B4B">
        <w:rPr>
          <w:b/>
        </w:rPr>
        <w:t xml:space="preserve"> </w:t>
      </w:r>
      <w:r w:rsidR="00551673" w:rsidRPr="00B03CCE">
        <w:t>ani w terminie tym nie nastąpi wpływ do PARP</w:t>
      </w:r>
      <w:r w:rsidR="00551673">
        <w:t xml:space="preserve"> (</w:t>
      </w:r>
      <w:r w:rsidR="00FA197A">
        <w:t xml:space="preserve">na adres wskazany w ust. 9 pkt 1 bądź za pośrednictwem platformy </w:t>
      </w:r>
      <w:proofErr w:type="spellStart"/>
      <w:r w:rsidR="00FA197A">
        <w:t>ePUAP</w:t>
      </w:r>
      <w:proofErr w:type="spellEnd"/>
      <w:r w:rsidR="00FA197A">
        <w:t>, zgodnie z ust. 9 pkt 2</w:t>
      </w:r>
      <w:r w:rsidR="00551673">
        <w:t>)</w:t>
      </w:r>
      <w:r w:rsidR="00551673" w:rsidRPr="00B03CCE">
        <w:t xml:space="preserve"> </w:t>
      </w:r>
      <w:r w:rsidR="00551673">
        <w:t>dokumentów,</w:t>
      </w:r>
      <w:r w:rsidR="00FA197A">
        <w:t xml:space="preserve"> o których mowa w ust 9,</w:t>
      </w:r>
      <w:r w:rsidR="00551673" w:rsidRPr="00771B4B">
        <w:rPr>
          <w:b/>
        </w:rPr>
        <w:t xml:space="preserve"> </w:t>
      </w:r>
      <w:r w:rsidRPr="00771B4B">
        <w:rPr>
          <w:b/>
        </w:rPr>
        <w:t xml:space="preserve">wniosek </w:t>
      </w:r>
      <w:r w:rsidRPr="00CD0AA3">
        <w:rPr>
          <w:b/>
        </w:rPr>
        <w:t>o dofinansowanie zostanie uznany za niezłożony i nie będzie podlegał ocenie</w:t>
      </w:r>
      <w:r w:rsidRPr="00CD0AA3">
        <w:t>.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 xml:space="preserve">xls, </w:t>
      </w:r>
      <w:proofErr w:type="spellStart"/>
      <w:r w:rsidR="0043044D">
        <w:t>xlsx</w:t>
      </w:r>
      <w:proofErr w:type="spellEnd"/>
      <w:r w:rsidR="00553C87">
        <w:t xml:space="preserve">, </w:t>
      </w:r>
      <w:proofErr w:type="spellStart"/>
      <w:r w:rsidR="00553C87">
        <w:t>doc</w:t>
      </w:r>
      <w:proofErr w:type="spellEnd"/>
      <w:r w:rsidR="00553C87">
        <w:t xml:space="preserve">, </w:t>
      </w:r>
      <w:proofErr w:type="spellStart"/>
      <w:r w:rsidR="00553C87">
        <w:t>docx</w:t>
      </w:r>
      <w:proofErr w:type="spellEnd"/>
      <w:r>
        <w:t>)</w:t>
      </w:r>
      <w:r w:rsidRPr="00CD0AA3">
        <w:t>. Wielkość pojedynczego załącznika nie powinna przekraczać 4 MB.</w:t>
      </w:r>
    </w:p>
    <w:p w14:paraId="0E0541B0" w14:textId="66F8E1C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16,</w:t>
      </w:r>
      <w:r w:rsidRPr="00701F67">
        <w:t xml:space="preserve"> dostępnego</w:t>
      </w:r>
      <w:r w:rsidRPr="00CD0AA3">
        <w:t xml:space="preserve"> w Generatorze Wniosków. PARP uwzględniając zgłoszenie może wskazać</w:t>
      </w:r>
      <w:r w:rsidR="004D563C">
        <w:t>,</w:t>
      </w:r>
      <w:r w:rsidRPr="00CD0AA3">
        <w:t xml:space="preserve"> jako uprawnioną formę złożenia załączników</w:t>
      </w:r>
      <w:r w:rsidR="004D563C">
        <w:t>,</w:t>
      </w:r>
      <w:r w:rsidRPr="00CD0AA3">
        <w:t xml:space="preserve">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CA9870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t>Złożenie załączników w sposób, o którym mowa w ust. 1</w:t>
      </w:r>
      <w:r w:rsidRPr="009747F5">
        <w:rPr>
          <w:bCs/>
        </w:rPr>
        <w:t>4,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>Załączniki muszą być ważne 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77777777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Pr="009747F5">
        <w:rPr>
          <w:bCs/>
        </w:rPr>
        <w:t>6</w:t>
      </w:r>
      <w:r w:rsidRPr="00701F67">
        <w:rPr>
          <w:bCs/>
        </w:rPr>
        <w:t xml:space="preserve"> forma zgłaszania błędów, jest dopuszczalna jedynie </w:t>
      </w:r>
      <w:r w:rsidRPr="00701F67">
        <w:rPr>
          <w:bCs/>
        </w:rPr>
        <w:br/>
        <w:t>w przypadku awarii formularza, o którym mowa w ust. 1</w:t>
      </w:r>
      <w:r w:rsidRPr="009747F5">
        <w:rPr>
          <w:bCs/>
        </w:rPr>
        <w:t>6</w:t>
      </w:r>
      <w:r w:rsidRPr="00701F67">
        <w:rPr>
          <w:bCs/>
        </w:rPr>
        <w:t>.</w:t>
      </w:r>
    </w:p>
    <w:p w14:paraId="100E7515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t>W celu ustalenia sposobu zgłaszania błędów w przypadku awarii formularza, o którym mowa w ust. 1</w:t>
      </w:r>
      <w:r w:rsidRPr="009747F5">
        <w:rPr>
          <w:bCs/>
        </w:rPr>
        <w:t>6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E6089A">
      <w:pPr>
        <w:pStyle w:val="Akapitzlist"/>
        <w:numPr>
          <w:ilvl w:val="0"/>
          <w:numId w:val="50"/>
        </w:numPr>
        <w:tabs>
          <w:tab w:val="left" w:pos="426"/>
        </w:tabs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77777777" w:rsidR="00E6089A" w:rsidRPr="003572EE" w:rsidRDefault="00E6089A" w:rsidP="00E6089A">
      <w:pPr>
        <w:pStyle w:val="Akapitzlist"/>
        <w:numPr>
          <w:ilvl w:val="0"/>
          <w:numId w:val="50"/>
        </w:numPr>
        <w:spacing w:after="120" w:line="276" w:lineRule="auto"/>
        <w:ind w:left="425" w:hanging="425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>§ 3 ust. 8</w:t>
      </w:r>
      <w:r w:rsidRPr="003901ED">
        <w:rPr>
          <w:rFonts w:eastAsia="Calibri"/>
          <w:lang w:eastAsia="en-US"/>
        </w:rPr>
        <w:t xml:space="preserve"> lub w § 7 ust. 7 lub </w:t>
      </w:r>
      <w:r w:rsidRPr="00A30BB3">
        <w:rPr>
          <w:rFonts w:eastAsia="Calibri"/>
          <w:lang w:eastAsia="en-US"/>
        </w:rPr>
        <w:t>§ 7 ust</w:t>
      </w:r>
      <w:r w:rsidRPr="001F4121">
        <w:rPr>
          <w:rFonts w:eastAsia="Calibri"/>
          <w:lang w:eastAsia="en-US"/>
        </w:rPr>
        <w:t>. 12</w:t>
      </w:r>
      <w:r w:rsidRPr="005F4A8E">
        <w:rPr>
          <w:rFonts w:eastAsia="Calibri"/>
          <w:lang w:eastAsia="en-US"/>
        </w:rPr>
        <w:t xml:space="preserve"> wnioskodawcy</w:t>
      </w:r>
      <w:r w:rsidRPr="00CD0AA3">
        <w:rPr>
          <w:rFonts w:eastAsia="Calibri"/>
          <w:lang w:eastAsia="en-US"/>
        </w:rPr>
        <w:t xml:space="preserve"> nie przysługuje protest w rozumieniu rozdziału 15 ustawy 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Dla rozstrzygnięcia, czy dokonano wskazanego w wezwaniu uzupełnienia lub poprawienia wniosku o dofinansowanie w terminie decydująca jest: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37BF329D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>U. z 2016 r. poz. 1113</w:t>
      </w:r>
      <w:r w:rsidR="008C26F1">
        <w:rPr>
          <w:bCs/>
        </w:rPr>
        <w:t>,</w:t>
      </w:r>
      <w:r w:rsidR="008755D6">
        <w:rPr>
          <w:bCs/>
        </w:rPr>
        <w:t xml:space="preserve"> z </w:t>
      </w:r>
      <w:proofErr w:type="spellStart"/>
      <w:r w:rsidR="008755D6">
        <w:rPr>
          <w:bCs/>
        </w:rPr>
        <w:t>późn</w:t>
      </w:r>
      <w:proofErr w:type="spellEnd"/>
      <w:r w:rsidR="008755D6">
        <w:rPr>
          <w:bCs/>
        </w:rPr>
        <w:t xml:space="preserve">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sporządzenia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czytelności załącznika;</w:t>
      </w:r>
    </w:p>
    <w:p w14:paraId="42D42D7E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>błędów w oświadczeniu o złożeniu wniosku o dofinansowanie</w:t>
      </w:r>
      <w:r>
        <w:rPr>
          <w:rFonts w:eastAsia="Calibri"/>
          <w:lang w:eastAsia="en-US"/>
        </w:rPr>
        <w:t xml:space="preserve"> w Generatorze Wniosków</w:t>
      </w:r>
      <w:r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 xml:space="preserve">podania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8E7FCE">
        <w:rPr>
          <w:rFonts w:eastAsia="Calibri"/>
          <w:lang w:eastAsia="en-US"/>
        </w:rPr>
        <w:t xml:space="preserve">błędnego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>błędów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595F62F1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 xml:space="preserve">niespójności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tak,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66DFDC14" w14:textId="29C24B1C" w:rsidR="00636CD5" w:rsidRPr="00C67D01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 w:rsidRPr="00C67D01">
        <w:rPr>
          <w:rFonts w:eastAsia="Calibri"/>
          <w:lang w:eastAsia="en-US"/>
        </w:rPr>
        <w:t xml:space="preserve">rozbieżności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 xml:space="preserve">X, które mają charakter oczywistej omyłki. </w:t>
      </w:r>
    </w:p>
    <w:p w14:paraId="350AD271" w14:textId="7777777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 jest dokonywana przez PARP.</w:t>
      </w:r>
    </w:p>
    <w:p w14:paraId="7B381775" w14:textId="0FDBC6DC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 xml:space="preserve">Jeżeli wnioskodawca nie poprawi lub nie uzupełni wniosku o dofinansowanie we wskazanym w wezwaniu terminie lub zakresie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3DB8A47C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 xml:space="preserve">Warunkiem uznania, że wniosek o dofinansowanie został uzupełniony lub poprawiony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skan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>Załączenie w Generatorze Wniosków skanu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1EACC14E" w14:textId="27B4F8FA" w:rsidR="008B756C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</w:t>
      </w:r>
      <w:r w:rsidR="008B756C" w:rsidRPr="00E63EB0">
        <w:rPr>
          <w:rFonts w:eastAsia="Calibri"/>
          <w:lang w:eastAsia="en-US"/>
        </w:rPr>
        <w:t xml:space="preserve">eżeli w ciągu </w:t>
      </w:r>
      <w:r w:rsidR="00091AAD" w:rsidRPr="00FF769F">
        <w:rPr>
          <w:rFonts w:eastAsia="Calibri"/>
          <w:lang w:eastAsia="en-US"/>
        </w:rPr>
        <w:t>2 dni roboczych</w:t>
      </w:r>
      <w:r w:rsidR="008B756C" w:rsidRPr="00E63EB0">
        <w:rPr>
          <w:rFonts w:eastAsia="Calibri"/>
          <w:lang w:eastAsia="en-US"/>
        </w:rPr>
        <w:t xml:space="preserve"> od dnia uzupełnienia</w:t>
      </w:r>
      <w:r w:rsidR="001911D5">
        <w:rPr>
          <w:rFonts w:eastAsia="Calibri"/>
          <w:lang w:eastAsia="en-US"/>
        </w:rPr>
        <w:t xml:space="preserve"> lub poprawienia</w:t>
      </w:r>
      <w:r w:rsidR="008B756C" w:rsidRPr="00E63EB0">
        <w:rPr>
          <w:rFonts w:eastAsia="Calibri"/>
          <w:lang w:eastAsia="en-US"/>
        </w:rPr>
        <w:t xml:space="preserve"> wniosku o dofinansowanie w Generatorze Wniosków wnioskodawca nie </w:t>
      </w:r>
      <w:r>
        <w:rPr>
          <w:rFonts w:eastAsia="Calibri"/>
          <w:lang w:eastAsia="en-US"/>
        </w:rPr>
        <w:t>dokona formalnego potwierdzenia złożenia nowej wersji wniosku o dofinansowanie</w:t>
      </w:r>
      <w:r w:rsidR="008B756C" w:rsidRPr="00E63EB0">
        <w:rPr>
          <w:rFonts w:eastAsia="Calibri"/>
          <w:lang w:eastAsia="en-US"/>
        </w:rPr>
        <w:t xml:space="preserve">, </w:t>
      </w:r>
      <w:r w:rsidR="008B756C" w:rsidRPr="00434884">
        <w:rPr>
          <w:rFonts w:eastAsia="Calibri"/>
          <w:b/>
          <w:lang w:eastAsia="en-US"/>
        </w:rPr>
        <w:t>wniosek o dofinansowanie zostanie pozostawiony bez rozpatrzenia i nie będzie podlegał ocenie lub dalszej ocenie</w:t>
      </w:r>
      <w:r w:rsidR="00AF1308" w:rsidRPr="00E63EB0">
        <w:rPr>
          <w:rFonts w:eastAsia="Calibri"/>
          <w:lang w:eastAsia="en-US"/>
        </w:rPr>
        <w:t xml:space="preserve">, o czym wnioskodawca zostanie poinformowany w </w:t>
      </w:r>
      <w:r w:rsidR="0094334E">
        <w:rPr>
          <w:rFonts w:eastAsia="Calibri"/>
          <w:lang w:eastAsia="en-US"/>
        </w:rPr>
        <w:t xml:space="preserve">formie </w:t>
      </w:r>
      <w:r w:rsidR="00AF1308" w:rsidRPr="00E63EB0">
        <w:rPr>
          <w:rFonts w:eastAsia="Calibri"/>
          <w:lang w:eastAsia="en-US"/>
        </w:rPr>
        <w:t>pi</w:t>
      </w:r>
      <w:r w:rsidR="0094334E">
        <w:rPr>
          <w:rFonts w:eastAsia="Calibri"/>
          <w:lang w:eastAsia="en-US"/>
        </w:rPr>
        <w:t>semnej</w:t>
      </w:r>
      <w:r w:rsidR="008B756C" w:rsidRPr="00E63EB0">
        <w:rPr>
          <w:rFonts w:eastAsia="Calibri"/>
          <w:lang w:eastAsia="en-US"/>
        </w:rPr>
        <w:t xml:space="preserve">. 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434884">
      <w:pPr>
        <w:pStyle w:val="Akapitzlist"/>
        <w:numPr>
          <w:ilvl w:val="0"/>
          <w:numId w:val="15"/>
        </w:numPr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4E7C299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</w:t>
      </w:r>
      <w:r w:rsidR="00AA243A">
        <w:rPr>
          <w:rFonts w:eastAsiaTheme="minorHAnsi"/>
          <w:lang w:eastAsia="en-US"/>
        </w:rPr>
        <w:t xml:space="preserve">obowiązujące dla </w:t>
      </w:r>
      <w:r w:rsidR="0073345B">
        <w:rPr>
          <w:rFonts w:eastAsiaTheme="minorHAnsi"/>
          <w:lang w:eastAsia="en-US"/>
        </w:rPr>
        <w:t>I</w:t>
      </w:r>
      <w:r w:rsidR="0098653A">
        <w:rPr>
          <w:rFonts w:eastAsiaTheme="minorHAnsi"/>
          <w:lang w:eastAsia="en-US"/>
        </w:rPr>
        <w:t>I</w:t>
      </w:r>
      <w:r w:rsidR="0073345B">
        <w:rPr>
          <w:rFonts w:eastAsiaTheme="minorHAnsi"/>
          <w:lang w:eastAsia="en-US"/>
        </w:rPr>
        <w:t xml:space="preserve"> </w:t>
      </w:r>
      <w:r w:rsidR="00876AEC">
        <w:rPr>
          <w:rFonts w:eastAsiaTheme="minorHAnsi"/>
          <w:lang w:eastAsia="en-US"/>
        </w:rPr>
        <w:t>Etapu</w:t>
      </w:r>
      <w:r w:rsidR="00AA243A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określone w załączniku nr 1 </w:t>
      </w:r>
      <w:r w:rsidR="00CB3398">
        <w:rPr>
          <w:rFonts w:eastAsiaTheme="minorHAnsi"/>
          <w:lang w:eastAsia="en-US"/>
        </w:rPr>
        <w:t xml:space="preserve">do regulaminu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77777777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31239902" w:rsidR="00CB3486" w:rsidRPr="00E63EB0" w:rsidRDefault="00CB3486" w:rsidP="00B03CCE">
      <w:pPr>
        <w:spacing w:after="120" w:line="276" w:lineRule="auto"/>
        <w:ind w:left="426"/>
        <w:jc w:val="both"/>
      </w:pPr>
      <w:r>
        <w:t>Ocena projektów</w:t>
      </w:r>
      <w:r w:rsidR="00AD6E07">
        <w:t>, przedstawionych we wnioskach o dofinansowanie złożonych w danym etapie konkursu,</w:t>
      </w:r>
      <w:r>
        <w:t xml:space="preserve"> trwa do 45 dni</w:t>
      </w:r>
      <w:r w:rsidR="00C77457">
        <w:t>, liczonych</w:t>
      </w:r>
      <w:r>
        <w:t xml:space="preserve"> od dnia zamknięcia naboru </w:t>
      </w:r>
      <w:r w:rsidR="00C77457">
        <w:t xml:space="preserve">wniosków </w:t>
      </w:r>
      <w:r>
        <w:t>o dofinans</w:t>
      </w:r>
      <w:r w:rsidR="00AD6E07">
        <w:t>owanie w tym etapie konkursu</w:t>
      </w:r>
      <w:r>
        <w:t xml:space="preserve">, do dnia sporządzenia listy ocenionych projektów w ramach </w:t>
      </w:r>
      <w:r w:rsidR="00AD6E07">
        <w:t>tego</w:t>
      </w:r>
      <w:r>
        <w:t xml:space="preserve"> etapu konkursu.</w:t>
      </w:r>
    </w:p>
    <w:p w14:paraId="79C39485" w14:textId="6B289A1E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442AA6" w:rsidRPr="007D6441">
        <w:t>.</w:t>
      </w:r>
    </w:p>
    <w:p w14:paraId="5F259BF7" w14:textId="5E64B226" w:rsidR="007E2F39" w:rsidRPr="00E63EB0" w:rsidRDefault="00615878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615878">
        <w:t xml:space="preserve">KOP wysyła wezwanie, o którym mowa w ust. </w:t>
      </w:r>
      <w:r>
        <w:t>5</w:t>
      </w:r>
      <w:r w:rsidRPr="00615878">
        <w:t>, na adres poczty elektronicznej wnioskodawcy. Wnioskodawca jest zobowiązany do przekazania do PARP wymaganych informacji lub dokumentów za pośrednictwem Generatora Wniosków lub w inny sposób wskazany w wezwaniu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na każdym etapie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>ma dostęp do informacji dotyczących etapu oceny</w:t>
      </w:r>
      <w:r w:rsidR="00F85BBC">
        <w:t>,</w:t>
      </w:r>
      <w:r w:rsidRPr="00E63EB0">
        <w:t xml:space="preserve"> na jakim znajduje się złożony przez niego wniosek </w:t>
      </w:r>
      <w:r w:rsidRPr="00E63EB0">
        <w:br/>
        <w:t xml:space="preserve">o dofinansowanie. </w:t>
      </w:r>
    </w:p>
    <w:p w14:paraId="3F89F69F" w14:textId="3DB1A264" w:rsidR="007C09DA" w:rsidRPr="001911D5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 xml:space="preserve">.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6DA34B8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</w:t>
      </w:r>
      <w:r w:rsidR="00F440DA">
        <w:rPr>
          <w:rFonts w:eastAsia="Calibri"/>
          <w:lang w:eastAsia="en-US"/>
        </w:rPr>
        <w:t>I</w:t>
      </w:r>
      <w:r w:rsidR="007A7A9D">
        <w:rPr>
          <w:rFonts w:eastAsia="Calibri"/>
          <w:lang w:eastAsia="en-US"/>
        </w:rPr>
        <w:t>I Etapu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5B639EF" w14:textId="75CD2430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odrzucony – </w:t>
      </w:r>
      <w:r w:rsidR="007B501A">
        <w:rPr>
          <w:rFonts w:eastAsia="Calibri"/>
          <w:lang w:eastAsia="en-US"/>
        </w:rPr>
        <w:t xml:space="preserve">z zastrzeżeniem postanowień § 7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61E25244" w14:textId="694C4479" w:rsidR="004A09AF" w:rsidRPr="004A09AF" w:rsidRDefault="008755D6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  <w:r w:rsidR="004A09AF" w:rsidRPr="004A09AF">
        <w:rPr>
          <w:rFonts w:eastAsia="Calibri"/>
          <w:lang w:eastAsia="en-US"/>
        </w:rPr>
        <w:t xml:space="preserve"> </w:t>
      </w: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merytorycznej</w:t>
      </w:r>
    </w:p>
    <w:p w14:paraId="2F45C957" w14:textId="78AF568D" w:rsidR="001A59AD" w:rsidRPr="00E63EB0" w:rsidRDefault="00BD2B8D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t>Ocena</w:t>
      </w:r>
      <w:r w:rsidR="00824678" w:rsidRPr="00E63EB0">
        <w:t xml:space="preserve"> </w:t>
      </w:r>
      <w:r w:rsidR="00296621" w:rsidRPr="00E63EB0">
        <w:t xml:space="preserve">merytoryczna </w:t>
      </w:r>
      <w:r w:rsidR="00CB5894">
        <w:t>projektów</w:t>
      </w:r>
      <w:r w:rsidR="00CC139A">
        <w:t xml:space="preserve"> </w:t>
      </w:r>
      <w:r w:rsidR="00296621" w:rsidRPr="00E63EB0">
        <w:t xml:space="preserve">jest </w:t>
      </w:r>
      <w:r w:rsidR="00824678" w:rsidRPr="00E63EB0">
        <w:t>dokon</w:t>
      </w:r>
      <w:r w:rsidR="00296621" w:rsidRPr="00E63EB0">
        <w:t xml:space="preserve">ywana </w:t>
      </w:r>
      <w:r w:rsidR="00343B1F">
        <w:t xml:space="preserve">przez KOP </w:t>
      </w:r>
      <w:r w:rsidR="008A2685" w:rsidRPr="008A2685">
        <w:t>w formie</w:t>
      </w:r>
      <w:r w:rsidR="00012F21">
        <w:t xml:space="preserve"> </w:t>
      </w:r>
      <w:r w:rsidR="00F440DA">
        <w:t xml:space="preserve">niezależnej oceny danego projektu, przez co najmniej dwóch członków </w:t>
      </w:r>
      <w:r w:rsidR="002E0549">
        <w:t>KOP</w:t>
      </w:r>
      <w:r w:rsidR="00CB5894">
        <w:t>.</w:t>
      </w:r>
    </w:p>
    <w:p w14:paraId="2349D0D8" w14:textId="02EF985B" w:rsidR="00241D6C" w:rsidRDefault="00824678" w:rsidP="00041D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 w:rsidR="00E43F4A"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</w:t>
      </w:r>
      <w:r w:rsidR="00AE18EB" w:rsidRPr="00E63EB0">
        <w:rPr>
          <w:rFonts w:eastAsiaTheme="minorHAnsi"/>
          <w:lang w:eastAsia="en-US"/>
        </w:rPr>
        <w:t>a</w:t>
      </w:r>
      <w:r w:rsidRPr="00E63EB0">
        <w:rPr>
          <w:rFonts w:eastAsiaTheme="minorHAnsi"/>
          <w:lang w:eastAsia="en-US"/>
        </w:rPr>
        <w:t xml:space="preserve"> merytoryczn</w:t>
      </w:r>
      <w:r w:rsidR="00AE18EB" w:rsidRPr="00E63EB0">
        <w:rPr>
          <w:rFonts w:eastAsiaTheme="minorHAnsi"/>
          <w:lang w:eastAsia="en-US"/>
        </w:rPr>
        <w:t>e</w:t>
      </w:r>
      <w:r w:rsidR="00F42A1A">
        <w:rPr>
          <w:rFonts w:eastAsiaTheme="minorHAnsi"/>
          <w:lang w:eastAsia="en-US"/>
        </w:rPr>
        <w:t xml:space="preserve"> obowiązujące dla </w:t>
      </w:r>
      <w:r w:rsidR="00F440DA">
        <w:rPr>
          <w:rFonts w:eastAsiaTheme="minorHAnsi"/>
          <w:lang w:eastAsia="en-US"/>
        </w:rPr>
        <w:t>I</w:t>
      </w:r>
      <w:r w:rsidR="00F42A1A">
        <w:rPr>
          <w:rFonts w:eastAsiaTheme="minorHAnsi"/>
          <w:lang w:eastAsia="en-US"/>
        </w:rPr>
        <w:t>I Etapu działania</w:t>
      </w:r>
      <w:r w:rsidR="007E2F39" w:rsidRPr="00E63EB0">
        <w:rPr>
          <w:rFonts w:eastAsiaTheme="minorHAnsi"/>
          <w:lang w:eastAsia="en-US"/>
        </w:rPr>
        <w:t>,</w:t>
      </w:r>
      <w:r w:rsidRPr="00E63EB0">
        <w:rPr>
          <w:rFonts w:eastAsiaTheme="minorHAnsi"/>
          <w:lang w:eastAsia="en-US"/>
        </w:rPr>
        <w:t xml:space="preserve"> określon</w:t>
      </w:r>
      <w:r w:rsidR="00AE18EB" w:rsidRPr="00E63EB0">
        <w:rPr>
          <w:rFonts w:eastAsiaTheme="minorHAnsi"/>
          <w:lang w:eastAsia="en-US"/>
        </w:rPr>
        <w:t>e</w:t>
      </w:r>
      <w:r w:rsidRPr="00E63EB0">
        <w:rPr>
          <w:rFonts w:eastAsiaTheme="minorHAnsi"/>
          <w:lang w:eastAsia="en-US"/>
        </w:rPr>
        <w:t xml:space="preserve"> w załączniku nr </w:t>
      </w:r>
      <w:r w:rsidR="007E2F39" w:rsidRPr="00E63EB0">
        <w:rPr>
          <w:rFonts w:eastAsiaTheme="minorHAnsi"/>
          <w:lang w:eastAsia="en-US"/>
        </w:rPr>
        <w:t>1 do regulaminu</w:t>
      </w:r>
      <w:r w:rsidR="009F1F76">
        <w:rPr>
          <w:rFonts w:eastAsiaTheme="minorHAnsi"/>
          <w:lang w:eastAsia="en-US"/>
        </w:rPr>
        <w:t>.</w:t>
      </w:r>
    </w:p>
    <w:p w14:paraId="71CB0D4E" w14:textId="145B0598" w:rsidR="00F440DA" w:rsidRPr="00CD0AA3" w:rsidRDefault="00331356" w:rsidP="00F440DA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="00F440DA" w:rsidRPr="00CD0AA3">
        <w:t xml:space="preserve">eżeli KOP uzna za niekwalifikowalne część kosztów wskazanych przez wnioskodawcę jako kwalifikowalne we wniosku o dofinansowanie, rekomenduje </w:t>
      </w:r>
      <w:r>
        <w:t>zmianę tych</w:t>
      </w:r>
      <w:r w:rsidR="004D563C">
        <w:t xml:space="preserve"> </w:t>
      </w:r>
      <w:r w:rsidR="00F440DA" w:rsidRPr="00CD0AA3">
        <w:t>kosztów o koszty, które uznał za niekwalifikowalne, z zastrzeżeniem ust. 4.</w:t>
      </w:r>
    </w:p>
    <w:p w14:paraId="15CA6F76" w14:textId="02F2536B" w:rsidR="00F440DA" w:rsidRPr="00CD0AA3" w:rsidRDefault="00331356" w:rsidP="00E01350">
      <w:pPr>
        <w:numPr>
          <w:ilvl w:val="0"/>
          <w:numId w:val="4"/>
        </w:numPr>
        <w:spacing w:after="120" w:line="276" w:lineRule="auto"/>
        <w:ind w:left="426"/>
        <w:jc w:val="both"/>
      </w:pPr>
      <w:r>
        <w:t>J</w:t>
      </w:r>
      <w:r w:rsidR="00F440DA" w:rsidRPr="00CD0AA3">
        <w:t xml:space="preserve">eżeli KOP uzna za niekwalifikowalne </w:t>
      </w:r>
      <w:r w:rsidR="00E01350">
        <w:t>25</w:t>
      </w:r>
      <w:r w:rsidR="00F440DA" w:rsidRPr="00CD0AA3">
        <w:t xml:space="preserve">% lub więcej kosztów </w:t>
      </w:r>
      <w:r w:rsidR="00F440DA" w:rsidRPr="0081775C">
        <w:rPr>
          <w:lang w:eastAsia="en-US"/>
        </w:rPr>
        <w:t xml:space="preserve">wskazanych przez wnioskodawcę jako kwalifikowalne we wniosku </w:t>
      </w:r>
      <w:r w:rsidR="00F440DA" w:rsidRPr="00CD0AA3">
        <w:t xml:space="preserve">o </w:t>
      </w:r>
      <w:r w:rsidR="00F440DA" w:rsidRPr="0081775C">
        <w:rPr>
          <w:lang w:eastAsia="en-US"/>
        </w:rPr>
        <w:t>dofinansowanie,</w:t>
      </w:r>
      <w:r w:rsidR="00F440DA" w:rsidRPr="00CD0AA3">
        <w:t xml:space="preserve"> kryterium wyboru projektów „</w:t>
      </w:r>
      <w:r w:rsidR="00E01350" w:rsidRPr="00E01350">
        <w:t>Wydatki w ramach projektu są kwalifikowalne, racjonalne i uzasadnione oraz wynikają bezpośrednio z modelu biznesowego opracowanego w ramach Etapu I działania 1.2 POPW</w:t>
      </w:r>
      <w:r w:rsidR="00F440DA" w:rsidRPr="00CD0AA3">
        <w:t>” uznaje się za niespełnione.</w:t>
      </w:r>
    </w:p>
    <w:p w14:paraId="1222BABE" w14:textId="079EE376" w:rsidR="00F440DA" w:rsidRPr="00CD0AA3" w:rsidRDefault="00F440DA" w:rsidP="00C36FDD">
      <w:pPr>
        <w:numPr>
          <w:ilvl w:val="0"/>
          <w:numId w:val="4"/>
        </w:numPr>
        <w:spacing w:after="120" w:line="276" w:lineRule="auto"/>
        <w:ind w:left="426"/>
        <w:jc w:val="both"/>
        <w:rPr>
          <w:b/>
        </w:rPr>
      </w:pPr>
      <w:r w:rsidRPr="0081775C">
        <w:rPr>
          <w:lang w:eastAsia="en-US"/>
        </w:rPr>
        <w:t xml:space="preserve">W przypadku, jeżeli KOP rekomenduje </w:t>
      </w:r>
      <w:r w:rsidR="00A26483"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</w:t>
      </w:r>
      <w:r>
        <w:rPr>
          <w:lang w:eastAsia="en-US"/>
        </w:rPr>
        <w:t>,</w:t>
      </w:r>
      <w:r w:rsidRPr="0081775C">
        <w:rPr>
          <w:lang w:eastAsia="en-US"/>
        </w:rPr>
        <w:t xml:space="preserve"> za pośrednictwem poczty elektronicznej wnioskodawcy</w:t>
      </w:r>
      <w:r>
        <w:rPr>
          <w:lang w:eastAsia="en-US"/>
        </w:rPr>
        <w:t>,</w:t>
      </w:r>
      <w:r w:rsidRPr="0081775C">
        <w:rPr>
          <w:lang w:eastAsia="en-US"/>
        </w:rPr>
        <w:t xml:space="preserve"> wzywa jednokrotnie wnioskodawcę do wyrażenia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 od dnia wysłania wezwania, zgody na 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="00C36FDD" w:rsidRPr="00C36FDD">
        <w:t>Wydatki w ramach projektu są kwalifikowalne, racjonalne i uzasadnione oraz wynikają bezpośrednio z modelu biznesowego opracowanego w ramach Etapu I działania 1.2 POPW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="00C36FDD" w:rsidRPr="00C36FDD">
        <w:t>Wydatki w ramach projektu są kwalifikowalne, racjonalne i uzasadnione oraz wynikają bezpośrednio z modelu biznesowego opracowanego w ramach Etapu I działania 1.2 POPW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skan pisma wnioskodawcy wpłynie do PARP na adres poczty elektronicznej wskazany w wezwaniu nie później, niż w terminie </w:t>
      </w:r>
      <w:r>
        <w:t>3</w:t>
      </w:r>
      <w:r w:rsidRPr="00CD0AA3">
        <w:t xml:space="preserve"> dni od dnia wysłania wezwania.</w:t>
      </w:r>
    </w:p>
    <w:p w14:paraId="5962B954" w14:textId="4DADAC80" w:rsidR="00F440DA" w:rsidRPr="00CD0AA3" w:rsidRDefault="00F440DA" w:rsidP="00F440DA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b/>
        </w:rPr>
      </w:pPr>
      <w:r w:rsidRPr="0081775C">
        <w:rPr>
          <w:lang w:eastAsia="en-US"/>
        </w:rPr>
        <w:t xml:space="preserve">Weryfikacja przez PARP czy wnioskodawca wyraził zgodę na dokonanie rekomendowanej przez KOP zmiany, </w:t>
      </w:r>
      <w:r w:rsidR="006B0B86"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dofinansowanie.</w:t>
      </w: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4EC12B0C" w:rsidR="00C05E1D" w:rsidRPr="00C05E1D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C05E1D">
        <w:t>Projekt może zostać wybrany do dofinansowania, gdy</w:t>
      </w:r>
      <w:r w:rsidR="00297655">
        <w:t xml:space="preserve"> spełnił kryteria wyboru projektów.</w:t>
      </w:r>
    </w:p>
    <w:p w14:paraId="7A91C38D" w14:textId="7BA452EF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 xml:space="preserve">W oparciu o ostateczną ocenę projektów </w:t>
      </w:r>
      <w:r w:rsidR="00DC20BD">
        <w:t xml:space="preserve">złożonych w danym etapie konkursu,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z</w:t>
      </w:r>
      <w:r w:rsidR="00174A97">
        <w:t>e</w:t>
      </w:r>
      <w:r w:rsidRPr="000937DA">
        <w:t xml:space="preserve"> </w:t>
      </w:r>
      <w:r w:rsidR="00174A97">
        <w:t>wskazaniem</w:t>
      </w:r>
      <w:r w:rsidR="00174A97" w:rsidRPr="000937DA">
        <w:t xml:space="preserve"> </w:t>
      </w:r>
      <w:r w:rsidRPr="000937DA">
        <w:t>projektów wybranych do dofinansowania.</w:t>
      </w:r>
    </w:p>
    <w:p w14:paraId="5F3C6F0C" w14:textId="2D99C308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t>Rozstrzygnięcie konkursu</w:t>
      </w:r>
      <w:r w:rsidR="004B1741">
        <w:t>, w ramach danego etapu,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CD6CDE">
        <w:t>2</w:t>
      </w:r>
      <w:r w:rsidR="004B1741">
        <w:t>.</w:t>
      </w:r>
    </w:p>
    <w:p w14:paraId="6095536F" w14:textId="59442B5F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 xml:space="preserve">W przypadku, gdy kwota środków przeznaczonych na dofinansowanie projektów w konkursie, o której mowa w § 3 ust. </w:t>
      </w:r>
      <w:r>
        <w:t>4</w:t>
      </w:r>
      <w:r>
        <w:t xml:space="preserve"> jest niewystarczająca na dofinansowanie wszystkich projektów, o których mowa w ust. 1, PARP zwraca się do IZ o odpowiednie zwiększenie alokacji na konkurs.</w:t>
      </w:r>
      <w:bookmarkStart w:id="14" w:name="_GoBack"/>
      <w:bookmarkEnd w:id="14"/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7EDBC6BF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7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 xml:space="preserve">wyboru projektów </w:t>
      </w:r>
      <w:r w:rsidR="00184D01" w:rsidDel="00D42FE4">
        <w:t>i</w:t>
      </w:r>
      <w:r w:rsidR="0071750A" w:rsidRPr="0071750A" w:rsidDel="00D42FE4">
        <w:t xml:space="preserve"> </w:t>
      </w:r>
      <w:r w:rsidR="00F5612F">
        <w:t>zostały</w:t>
      </w:r>
      <w:r w:rsidR="0068762E" w:rsidDel="00D42FE4">
        <w:t xml:space="preserve"> wybran</w:t>
      </w:r>
      <w:r w:rsidR="00F5612F">
        <w:t>e</w:t>
      </w:r>
      <w:r w:rsidR="0068762E" w:rsidDel="00D42FE4">
        <w:t xml:space="preserve"> do dofinansowania</w:t>
      </w:r>
      <w:r w:rsidR="0071750A" w:rsidDel="00D42FE4">
        <w:t>.</w:t>
      </w:r>
    </w:p>
    <w:p w14:paraId="599E2A50" w14:textId="77777777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o </w:t>
      </w:r>
      <w:r w:rsidR="00D14B34" w:rsidRPr="00E63EB0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338A83F1" w:rsidR="005748D2" w:rsidRPr="00E63EB0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CD6CDE">
        <w:t>ramach danego etapu</w:t>
      </w:r>
      <w:r w:rsidR="00AE3FE5">
        <w:t xml:space="preserve"> </w:t>
      </w:r>
      <w:r w:rsidR="00B15312">
        <w:t>wynosi</w:t>
      </w:r>
      <w:r w:rsidR="00040FE3">
        <w:t xml:space="preserve"> 2 miesiące od dnia zakończenia naboru wniosków w ramach każdego etapu konkursu</w:t>
      </w:r>
      <w:r w:rsidR="00AD4D07">
        <w:t>.</w:t>
      </w: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1D374E64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r w:rsidR="00F93CEB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77777777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 xml:space="preserve">W zakresie weryfikacji statusu MŚP oraz trudnej sytuacji, o której mowa w art. 2 pkt 18 </w:t>
      </w:r>
      <w:r w:rsidRPr="00C8484D">
        <w:t xml:space="preserve">rozporządzenia </w:t>
      </w:r>
      <w:r w:rsidRPr="00EB3A3A">
        <w:rPr>
          <w:lang w:eastAsia="en-US"/>
        </w:rPr>
        <w:t>KE nr 651/2014</w:t>
      </w:r>
      <w:r>
        <w:rPr>
          <w:lang w:eastAsia="en-US"/>
        </w:rPr>
        <w:t xml:space="preserve"> PARP zastrzega możliwość powierzenia czynności w tym zakresie podmiotowi zewnętrznemu.</w:t>
      </w:r>
    </w:p>
    <w:p w14:paraId="1FA809E1" w14:textId="73963784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wnioskodawca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r w:rsidRPr="00103730">
        <w:t>beneficjentowi nie zostanie wypłacana zaliczk</w:t>
      </w:r>
      <w:r w:rsidRPr="00FF7310">
        <w:t xml:space="preserve">a – projekt będzie rozliczany wyłącznie na podstawie refundacji; </w:t>
      </w:r>
    </w:p>
    <w:p w14:paraId="2BCBE012" w14:textId="18AC982D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103730">
        <w:t>beneficjentowi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 w siedzibie beneficjenta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DA4F0F">
        <w:t>po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7777777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5AB0F35E" w:rsidR="00AD3F38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AD3F38" w:rsidRPr="00E63EB0">
        <w:rPr>
          <w:rFonts w:eastAsia="Calibri"/>
          <w:lang w:eastAsia="en-US"/>
        </w:rPr>
        <w:t>rojekt może otrzymać dofinansowanie w wyniku procedury odwoławczej pod warunkiem, ż</w:t>
      </w:r>
      <w:r w:rsidR="00244458">
        <w:rPr>
          <w:rFonts w:eastAsia="Calibri"/>
          <w:lang w:eastAsia="en-US"/>
        </w:rPr>
        <w:t>e spełnia kryteria wybor</w:t>
      </w:r>
      <w:r w:rsidR="006E3D68">
        <w:rPr>
          <w:rFonts w:eastAsia="Calibri"/>
          <w:lang w:eastAsia="en-US"/>
        </w:rPr>
        <w:t>u</w:t>
      </w:r>
      <w:r w:rsidR="007D6346">
        <w:rPr>
          <w:rFonts w:eastAsia="Calibri"/>
          <w:lang w:eastAsia="en-US"/>
        </w:rPr>
        <w:t>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01D0D639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 xml:space="preserve">PARP </w:t>
      </w:r>
      <w:r w:rsidR="00DA4F0F">
        <w:t>odpowiedniej dla działania</w:t>
      </w:r>
      <w:r w:rsidR="00AD3F38" w:rsidRPr="00AB78AE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proofErr w:type="spellStart"/>
      <w:r w:rsidR="00876AEC" w:rsidRPr="00AB78AE">
        <w:t>Informatorium</w:t>
      </w:r>
      <w:proofErr w:type="spellEnd"/>
      <w:r w:rsidR="00876AEC" w:rsidRPr="00AB78AE">
        <w:t xml:space="preserve"> PARP w odpowiedzi</w:t>
      </w:r>
      <w:r w:rsidRPr="00AB78AE">
        <w:t xml:space="preserve"> na zapytania kierowane na adres poczty elektronicznej: </w:t>
      </w:r>
      <w:hyperlink r:id="rId9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24D0B88E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Odpowiedzi na wszystkie pytania udzielane są indywidualnie. Odpowiedzi na pytania są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0"/>
      <w:footerReference w:type="default" r:id="rId11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7DBD" w14:textId="77777777" w:rsidR="00787BF8" w:rsidRDefault="00787BF8">
      <w:r>
        <w:separator/>
      </w:r>
    </w:p>
  </w:endnote>
  <w:endnote w:type="continuationSeparator" w:id="0">
    <w:p w14:paraId="7A4767A3" w14:textId="77777777" w:rsidR="00787BF8" w:rsidRDefault="0078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787BF8" w:rsidRDefault="00787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787BF8" w:rsidRDefault="00787B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787BF8" w:rsidRDefault="00787B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498">
      <w:rPr>
        <w:rStyle w:val="Numerstrony"/>
        <w:noProof/>
      </w:rPr>
      <w:t>- 20 -</w:t>
    </w:r>
    <w:r>
      <w:rPr>
        <w:rStyle w:val="Numerstrony"/>
      </w:rPr>
      <w:fldChar w:fldCharType="end"/>
    </w:r>
  </w:p>
  <w:p w14:paraId="6243AC33" w14:textId="77777777" w:rsidR="00787BF8" w:rsidRDefault="00787B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0DA3" w14:textId="77777777" w:rsidR="00787BF8" w:rsidRDefault="00787BF8">
      <w:r>
        <w:separator/>
      </w:r>
    </w:p>
  </w:footnote>
  <w:footnote w:type="continuationSeparator" w:id="0">
    <w:p w14:paraId="0313F52A" w14:textId="77777777" w:rsidR="00787BF8" w:rsidRDefault="00787BF8">
      <w:r>
        <w:continuationSeparator/>
      </w:r>
    </w:p>
  </w:footnote>
  <w:footnote w:id="1">
    <w:p w14:paraId="29511340" w14:textId="0D3A1616" w:rsidR="003F2B3A" w:rsidRDefault="003F2B3A">
      <w:pPr>
        <w:pStyle w:val="Tekstprzypisudolnego"/>
      </w:pPr>
      <w:r>
        <w:rPr>
          <w:rStyle w:val="Odwoanieprzypisudolnego"/>
        </w:rPr>
        <w:footnoteRef/>
      </w:r>
      <w:r>
        <w:t xml:space="preserve"> 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>).</w:t>
      </w:r>
    </w:p>
  </w:footnote>
  <w:footnote w:id="2">
    <w:p w14:paraId="0F8C2B5F" w14:textId="77777777" w:rsidR="003F2B3A" w:rsidRDefault="003F2B3A" w:rsidP="003F2B3A">
      <w:pPr>
        <w:pStyle w:val="Tekstprzypisudolnego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o dofinansowanie - Harmonogramie Rzeczowo-Finansowym. Nie stanowią rozpoczęcia realizacji projektu czynności podejmowane w ramach działań przygotowawczych, w szczególności przygotowanie dokumentacji związanej z wyborem wykonawców lub dostawców.</w:t>
      </w:r>
    </w:p>
    <w:p w14:paraId="0F688433" w14:textId="77777777" w:rsidR="003F2B3A" w:rsidRDefault="003F2B3A" w:rsidP="003F2B3A">
      <w:pPr>
        <w:pStyle w:val="Tekstprzypisudolnego"/>
      </w:pPr>
      <w:r>
        <w:t xml:space="preserve">Z uwagi na fakt, że projekt nie może zostać rozpoczęty przed dniem złożenia wniosku ani w dniu złożenia wniosku o dofinansowanie, nie należy zawierać ostatecznych umów z wykonawcami. Podpisanie listów intencyjnych lub zawarcie umów warunkowych nie jest uznawane za rozpoczęcie projektu i może mieć miejsce przed złożeniem wniosku. </w:t>
      </w:r>
    </w:p>
    <w:p w14:paraId="008A6049" w14:textId="38A50A43" w:rsidR="003F2B3A" w:rsidRDefault="003F2B3A">
      <w:pPr>
        <w:pStyle w:val="Tekstprzypisudolnego"/>
      </w:pPr>
      <w:r>
        <w:t>W odniesieniu do pierwszego prawnego zobowiązania wnioskodawcy do zamówienia urządzeń, za rozpoczęcie realizacji projektu uznaje się podpisanie umowy z wyłonionym wykonawcą, dostawę towaru lub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</w:footnote>
  <w:footnote w:id="3">
    <w:p w14:paraId="4ED434E0" w14:textId="684C292D" w:rsidR="00787BF8" w:rsidRDefault="00787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A7A">
        <w:t>Rozporządzenie Ministra Pracy i Polityki Społecznej z dnia 29 stycznia 2013 r. w sprawie należności przysługujących pracownikowi zatrudnionemu w państwowej lub samorządowej jednostce sfery budżetowej z tytułu podróży służbowej</w:t>
      </w:r>
      <w:r>
        <w:t xml:space="preserve"> (</w:t>
      </w:r>
      <w:r w:rsidRPr="00892A7A">
        <w:t>Dz.U. 2013 poz. 167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B3578C"/>
    <w:multiLevelType w:val="hybridMultilevel"/>
    <w:tmpl w:val="2E4A524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2" w15:restartNumberingAfterBreak="0">
    <w:nsid w:val="2FC72AA6"/>
    <w:multiLevelType w:val="hybridMultilevel"/>
    <w:tmpl w:val="44943C64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3" w15:restartNumberingAfterBreak="0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5" w15:restartNumberingAfterBreak="0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7" w15:restartNumberingAfterBreak="0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0" w15:restartNumberingAfterBreak="0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6" w15:restartNumberingAfterBreak="0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48"/>
  </w:num>
  <w:num w:numId="5">
    <w:abstractNumId w:val="26"/>
  </w:num>
  <w:num w:numId="6">
    <w:abstractNumId w:val="55"/>
  </w:num>
  <w:num w:numId="7">
    <w:abstractNumId w:val="44"/>
  </w:num>
  <w:num w:numId="8">
    <w:abstractNumId w:val="42"/>
  </w:num>
  <w:num w:numId="9">
    <w:abstractNumId w:val="38"/>
  </w:num>
  <w:num w:numId="10">
    <w:abstractNumId w:val="36"/>
  </w:num>
  <w:num w:numId="11">
    <w:abstractNumId w:val="39"/>
  </w:num>
  <w:num w:numId="12">
    <w:abstractNumId w:val="4"/>
  </w:num>
  <w:num w:numId="13">
    <w:abstractNumId w:val="53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4"/>
  </w:num>
  <w:num w:numId="24">
    <w:abstractNumId w:val="16"/>
  </w:num>
  <w:num w:numId="25">
    <w:abstractNumId w:val="18"/>
  </w:num>
  <w:num w:numId="26">
    <w:abstractNumId w:val="35"/>
  </w:num>
  <w:num w:numId="27">
    <w:abstractNumId w:val="3"/>
  </w:num>
  <w:num w:numId="28">
    <w:abstractNumId w:val="30"/>
  </w:num>
  <w:num w:numId="29">
    <w:abstractNumId w:val="13"/>
  </w:num>
  <w:num w:numId="30">
    <w:abstractNumId w:val="0"/>
  </w:num>
  <w:num w:numId="31">
    <w:abstractNumId w:val="56"/>
  </w:num>
  <w:num w:numId="32">
    <w:abstractNumId w:val="43"/>
  </w:num>
  <w:num w:numId="33">
    <w:abstractNumId w:val="14"/>
  </w:num>
  <w:num w:numId="34">
    <w:abstractNumId w:val="24"/>
  </w:num>
  <w:num w:numId="35">
    <w:abstractNumId w:val="29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9"/>
  </w:num>
  <w:num w:numId="41">
    <w:abstractNumId w:val="19"/>
  </w:num>
  <w:num w:numId="42">
    <w:abstractNumId w:val="5"/>
  </w:num>
  <w:num w:numId="43">
    <w:abstractNumId w:val="21"/>
  </w:num>
  <w:num w:numId="44">
    <w:abstractNumId w:val="47"/>
  </w:num>
  <w:num w:numId="45">
    <w:abstractNumId w:val="52"/>
  </w:num>
  <w:num w:numId="46">
    <w:abstractNumId w:val="37"/>
  </w:num>
  <w:num w:numId="47">
    <w:abstractNumId w:val="45"/>
  </w:num>
  <w:num w:numId="48">
    <w:abstractNumId w:val="23"/>
  </w:num>
  <w:num w:numId="49">
    <w:abstractNumId w:val="25"/>
  </w:num>
  <w:num w:numId="50">
    <w:abstractNumId w:val="41"/>
  </w:num>
  <w:num w:numId="51">
    <w:abstractNumId w:val="28"/>
  </w:num>
  <w:num w:numId="52">
    <w:abstractNumId w:val="1"/>
  </w:num>
  <w:num w:numId="53">
    <w:abstractNumId w:val="51"/>
  </w:num>
  <w:num w:numId="54">
    <w:abstractNumId w:val="33"/>
  </w:num>
  <w:num w:numId="55">
    <w:abstractNumId w:val="27"/>
  </w:num>
  <w:num w:numId="56">
    <w:abstractNumId w:val="46"/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7"/>
  </w:num>
  <w:num w:numId="60">
    <w:abstractNumId w:val="17"/>
  </w:num>
  <w:num w:numId="61">
    <w:abstractNumId w:val="32"/>
  </w:num>
  <w:num w:numId="62">
    <w:abstractNumId w:val="11"/>
  </w:num>
  <w:num w:numId="63">
    <w:abstractNumId w:val="31"/>
  </w:num>
  <w:num w:numId="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4FB2"/>
    <w:rsid w:val="00004FB8"/>
    <w:rsid w:val="000057FD"/>
    <w:rsid w:val="00005C54"/>
    <w:rsid w:val="00006859"/>
    <w:rsid w:val="00006B3D"/>
    <w:rsid w:val="00007945"/>
    <w:rsid w:val="00012F21"/>
    <w:rsid w:val="00013C68"/>
    <w:rsid w:val="000150FC"/>
    <w:rsid w:val="000158FC"/>
    <w:rsid w:val="0001625D"/>
    <w:rsid w:val="00017C86"/>
    <w:rsid w:val="00017E12"/>
    <w:rsid w:val="00020E93"/>
    <w:rsid w:val="000223B0"/>
    <w:rsid w:val="000223E3"/>
    <w:rsid w:val="00025F45"/>
    <w:rsid w:val="00025F56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EA4"/>
    <w:rsid w:val="00045A69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713E3"/>
    <w:rsid w:val="000730A6"/>
    <w:rsid w:val="00073CD8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522C"/>
    <w:rsid w:val="00095620"/>
    <w:rsid w:val="00097ECF"/>
    <w:rsid w:val="000A0D6A"/>
    <w:rsid w:val="000A12AD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C34AA"/>
    <w:rsid w:val="000D0DE5"/>
    <w:rsid w:val="000D105F"/>
    <w:rsid w:val="000D1848"/>
    <w:rsid w:val="000D4100"/>
    <w:rsid w:val="000D421E"/>
    <w:rsid w:val="000D4223"/>
    <w:rsid w:val="000D6136"/>
    <w:rsid w:val="000D7D0E"/>
    <w:rsid w:val="000E0899"/>
    <w:rsid w:val="000E09DC"/>
    <w:rsid w:val="000E1F21"/>
    <w:rsid w:val="000E3E3F"/>
    <w:rsid w:val="000E5498"/>
    <w:rsid w:val="000E6052"/>
    <w:rsid w:val="000E6231"/>
    <w:rsid w:val="000E6CDA"/>
    <w:rsid w:val="000E767D"/>
    <w:rsid w:val="000F09A3"/>
    <w:rsid w:val="000F41F3"/>
    <w:rsid w:val="000F5964"/>
    <w:rsid w:val="000F5E83"/>
    <w:rsid w:val="00100DF6"/>
    <w:rsid w:val="00103730"/>
    <w:rsid w:val="00103ACD"/>
    <w:rsid w:val="00106084"/>
    <w:rsid w:val="00106F19"/>
    <w:rsid w:val="00106F8F"/>
    <w:rsid w:val="001072D7"/>
    <w:rsid w:val="001076E9"/>
    <w:rsid w:val="001116B1"/>
    <w:rsid w:val="0011222E"/>
    <w:rsid w:val="0011229F"/>
    <w:rsid w:val="00117D64"/>
    <w:rsid w:val="0012268B"/>
    <w:rsid w:val="00122F87"/>
    <w:rsid w:val="00123435"/>
    <w:rsid w:val="00125128"/>
    <w:rsid w:val="001258F5"/>
    <w:rsid w:val="00130E4F"/>
    <w:rsid w:val="00132E6C"/>
    <w:rsid w:val="0013411C"/>
    <w:rsid w:val="00135B49"/>
    <w:rsid w:val="00136BA8"/>
    <w:rsid w:val="00136E4C"/>
    <w:rsid w:val="00140043"/>
    <w:rsid w:val="001407DA"/>
    <w:rsid w:val="00145D2A"/>
    <w:rsid w:val="00154005"/>
    <w:rsid w:val="0015422C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D0A"/>
    <w:rsid w:val="00173C2E"/>
    <w:rsid w:val="00174A97"/>
    <w:rsid w:val="00175D56"/>
    <w:rsid w:val="0017770C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7E43"/>
    <w:rsid w:val="001B159D"/>
    <w:rsid w:val="001B2F6D"/>
    <w:rsid w:val="001B4128"/>
    <w:rsid w:val="001B4F97"/>
    <w:rsid w:val="001B64F0"/>
    <w:rsid w:val="001C16F6"/>
    <w:rsid w:val="001C249D"/>
    <w:rsid w:val="001C3937"/>
    <w:rsid w:val="001C3ED9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123E"/>
    <w:rsid w:val="001E1857"/>
    <w:rsid w:val="001E2605"/>
    <w:rsid w:val="001E338C"/>
    <w:rsid w:val="001E42BD"/>
    <w:rsid w:val="001E56B7"/>
    <w:rsid w:val="001E75CB"/>
    <w:rsid w:val="001E795D"/>
    <w:rsid w:val="001E7FB3"/>
    <w:rsid w:val="001F4121"/>
    <w:rsid w:val="001F47A5"/>
    <w:rsid w:val="001F4EBD"/>
    <w:rsid w:val="001F7EC6"/>
    <w:rsid w:val="002008DE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3150"/>
    <w:rsid w:val="00241D6C"/>
    <w:rsid w:val="00244458"/>
    <w:rsid w:val="00247D72"/>
    <w:rsid w:val="00247DD4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D8C"/>
    <w:rsid w:val="002630D4"/>
    <w:rsid w:val="0026466A"/>
    <w:rsid w:val="00264840"/>
    <w:rsid w:val="00266EF4"/>
    <w:rsid w:val="0027063F"/>
    <w:rsid w:val="002720F0"/>
    <w:rsid w:val="00273BE6"/>
    <w:rsid w:val="00275ABA"/>
    <w:rsid w:val="002777C8"/>
    <w:rsid w:val="00281261"/>
    <w:rsid w:val="0028352F"/>
    <w:rsid w:val="002841E4"/>
    <w:rsid w:val="0028523F"/>
    <w:rsid w:val="0028622D"/>
    <w:rsid w:val="00287446"/>
    <w:rsid w:val="002903C6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D1D"/>
    <w:rsid w:val="002B2521"/>
    <w:rsid w:val="002B2C73"/>
    <w:rsid w:val="002B501C"/>
    <w:rsid w:val="002B771F"/>
    <w:rsid w:val="002C106A"/>
    <w:rsid w:val="002C4294"/>
    <w:rsid w:val="002C7D40"/>
    <w:rsid w:val="002D36E1"/>
    <w:rsid w:val="002D40F9"/>
    <w:rsid w:val="002D5644"/>
    <w:rsid w:val="002D5AB8"/>
    <w:rsid w:val="002E0549"/>
    <w:rsid w:val="002E067F"/>
    <w:rsid w:val="002E0901"/>
    <w:rsid w:val="002E2014"/>
    <w:rsid w:val="002E2109"/>
    <w:rsid w:val="002E280E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451B"/>
    <w:rsid w:val="00326472"/>
    <w:rsid w:val="003264DA"/>
    <w:rsid w:val="00326751"/>
    <w:rsid w:val="00331356"/>
    <w:rsid w:val="00333855"/>
    <w:rsid w:val="003345AC"/>
    <w:rsid w:val="00335289"/>
    <w:rsid w:val="0033541B"/>
    <w:rsid w:val="00336859"/>
    <w:rsid w:val="00337DD4"/>
    <w:rsid w:val="0034093F"/>
    <w:rsid w:val="0034210D"/>
    <w:rsid w:val="0034296B"/>
    <w:rsid w:val="0034347B"/>
    <w:rsid w:val="00343B1F"/>
    <w:rsid w:val="00345D93"/>
    <w:rsid w:val="00345FB1"/>
    <w:rsid w:val="003507E1"/>
    <w:rsid w:val="003526AD"/>
    <w:rsid w:val="003546FC"/>
    <w:rsid w:val="0035508F"/>
    <w:rsid w:val="00356A51"/>
    <w:rsid w:val="0036192E"/>
    <w:rsid w:val="00361E91"/>
    <w:rsid w:val="00363021"/>
    <w:rsid w:val="00363116"/>
    <w:rsid w:val="00363F6B"/>
    <w:rsid w:val="0036412B"/>
    <w:rsid w:val="00367204"/>
    <w:rsid w:val="00370F8E"/>
    <w:rsid w:val="00375369"/>
    <w:rsid w:val="00384A93"/>
    <w:rsid w:val="00384ACD"/>
    <w:rsid w:val="00385A89"/>
    <w:rsid w:val="0038623B"/>
    <w:rsid w:val="0039101A"/>
    <w:rsid w:val="003924AA"/>
    <w:rsid w:val="00392CE6"/>
    <w:rsid w:val="00394045"/>
    <w:rsid w:val="00394D2D"/>
    <w:rsid w:val="00395C62"/>
    <w:rsid w:val="0039680F"/>
    <w:rsid w:val="003A06F1"/>
    <w:rsid w:val="003A0B6C"/>
    <w:rsid w:val="003A296C"/>
    <w:rsid w:val="003A29A9"/>
    <w:rsid w:val="003A3D8E"/>
    <w:rsid w:val="003A4A81"/>
    <w:rsid w:val="003A4B70"/>
    <w:rsid w:val="003A6CC5"/>
    <w:rsid w:val="003B0962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6E93"/>
    <w:rsid w:val="003C72EE"/>
    <w:rsid w:val="003D0735"/>
    <w:rsid w:val="003D1650"/>
    <w:rsid w:val="003D16C8"/>
    <w:rsid w:val="003D263F"/>
    <w:rsid w:val="003D5E99"/>
    <w:rsid w:val="003D6CDB"/>
    <w:rsid w:val="003D7050"/>
    <w:rsid w:val="003D75CD"/>
    <w:rsid w:val="003E1B4F"/>
    <w:rsid w:val="003E63D3"/>
    <w:rsid w:val="003E6945"/>
    <w:rsid w:val="003F12A7"/>
    <w:rsid w:val="003F1ADD"/>
    <w:rsid w:val="003F24B8"/>
    <w:rsid w:val="003F2B3A"/>
    <w:rsid w:val="003F2BEC"/>
    <w:rsid w:val="003F30ED"/>
    <w:rsid w:val="003F38CB"/>
    <w:rsid w:val="003F390D"/>
    <w:rsid w:val="003F4ADF"/>
    <w:rsid w:val="003F5623"/>
    <w:rsid w:val="00400BB5"/>
    <w:rsid w:val="0040373C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553B"/>
    <w:rsid w:val="004513FA"/>
    <w:rsid w:val="00451ABB"/>
    <w:rsid w:val="004539DE"/>
    <w:rsid w:val="004556AE"/>
    <w:rsid w:val="00455F82"/>
    <w:rsid w:val="00455FDE"/>
    <w:rsid w:val="0045742E"/>
    <w:rsid w:val="00457598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7496"/>
    <w:rsid w:val="004A09AF"/>
    <w:rsid w:val="004A27D1"/>
    <w:rsid w:val="004A3DC3"/>
    <w:rsid w:val="004A4D1B"/>
    <w:rsid w:val="004A5A05"/>
    <w:rsid w:val="004B1741"/>
    <w:rsid w:val="004B2F94"/>
    <w:rsid w:val="004B4232"/>
    <w:rsid w:val="004B532E"/>
    <w:rsid w:val="004B7044"/>
    <w:rsid w:val="004B7B4D"/>
    <w:rsid w:val="004B7E59"/>
    <w:rsid w:val="004C2C3A"/>
    <w:rsid w:val="004C437B"/>
    <w:rsid w:val="004C4FF6"/>
    <w:rsid w:val="004C690D"/>
    <w:rsid w:val="004C6CC8"/>
    <w:rsid w:val="004D207B"/>
    <w:rsid w:val="004D28D1"/>
    <w:rsid w:val="004D3134"/>
    <w:rsid w:val="004D38CE"/>
    <w:rsid w:val="004D563C"/>
    <w:rsid w:val="004D58D3"/>
    <w:rsid w:val="004D5D67"/>
    <w:rsid w:val="004D694F"/>
    <w:rsid w:val="004D7190"/>
    <w:rsid w:val="004E01E5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E29"/>
    <w:rsid w:val="00503345"/>
    <w:rsid w:val="0050521A"/>
    <w:rsid w:val="005064F1"/>
    <w:rsid w:val="0050787C"/>
    <w:rsid w:val="00507A61"/>
    <w:rsid w:val="00507A6C"/>
    <w:rsid w:val="00514887"/>
    <w:rsid w:val="00516DDB"/>
    <w:rsid w:val="00521552"/>
    <w:rsid w:val="00522F90"/>
    <w:rsid w:val="00525915"/>
    <w:rsid w:val="0052640B"/>
    <w:rsid w:val="005264E2"/>
    <w:rsid w:val="005269D0"/>
    <w:rsid w:val="005272A1"/>
    <w:rsid w:val="00527943"/>
    <w:rsid w:val="00527F7E"/>
    <w:rsid w:val="00530C3F"/>
    <w:rsid w:val="00532986"/>
    <w:rsid w:val="00532A04"/>
    <w:rsid w:val="00532D48"/>
    <w:rsid w:val="005452D9"/>
    <w:rsid w:val="0054558F"/>
    <w:rsid w:val="00545CB1"/>
    <w:rsid w:val="0054673F"/>
    <w:rsid w:val="0055036C"/>
    <w:rsid w:val="00551673"/>
    <w:rsid w:val="00553C87"/>
    <w:rsid w:val="00553E8E"/>
    <w:rsid w:val="00561C4E"/>
    <w:rsid w:val="00563D6B"/>
    <w:rsid w:val="00564F5F"/>
    <w:rsid w:val="00565F71"/>
    <w:rsid w:val="0056686B"/>
    <w:rsid w:val="00567159"/>
    <w:rsid w:val="00571A59"/>
    <w:rsid w:val="00572AD0"/>
    <w:rsid w:val="00574067"/>
    <w:rsid w:val="005748D2"/>
    <w:rsid w:val="005776F4"/>
    <w:rsid w:val="005815AC"/>
    <w:rsid w:val="00581E89"/>
    <w:rsid w:val="0058238F"/>
    <w:rsid w:val="005828BB"/>
    <w:rsid w:val="00583270"/>
    <w:rsid w:val="00583F42"/>
    <w:rsid w:val="005848A2"/>
    <w:rsid w:val="0058771A"/>
    <w:rsid w:val="00587F85"/>
    <w:rsid w:val="00591D57"/>
    <w:rsid w:val="005925F6"/>
    <w:rsid w:val="00594E3B"/>
    <w:rsid w:val="0059634D"/>
    <w:rsid w:val="005975C1"/>
    <w:rsid w:val="005A3CA8"/>
    <w:rsid w:val="005A4982"/>
    <w:rsid w:val="005A5B3B"/>
    <w:rsid w:val="005A797B"/>
    <w:rsid w:val="005B2D6A"/>
    <w:rsid w:val="005B39FE"/>
    <w:rsid w:val="005B798C"/>
    <w:rsid w:val="005C154C"/>
    <w:rsid w:val="005C2C05"/>
    <w:rsid w:val="005C3EDE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4657"/>
    <w:rsid w:val="005E4D91"/>
    <w:rsid w:val="005E5C02"/>
    <w:rsid w:val="005E61DE"/>
    <w:rsid w:val="005F0627"/>
    <w:rsid w:val="005F1B6D"/>
    <w:rsid w:val="005F418A"/>
    <w:rsid w:val="00600269"/>
    <w:rsid w:val="00601291"/>
    <w:rsid w:val="006021CF"/>
    <w:rsid w:val="00604713"/>
    <w:rsid w:val="00604EF0"/>
    <w:rsid w:val="00604F9D"/>
    <w:rsid w:val="00606E50"/>
    <w:rsid w:val="0061178A"/>
    <w:rsid w:val="00612FD3"/>
    <w:rsid w:val="00613937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56B5"/>
    <w:rsid w:val="00635EC3"/>
    <w:rsid w:val="00636B25"/>
    <w:rsid w:val="00636CD5"/>
    <w:rsid w:val="00640623"/>
    <w:rsid w:val="0064196F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584B"/>
    <w:rsid w:val="00660EF9"/>
    <w:rsid w:val="00663C69"/>
    <w:rsid w:val="006640C8"/>
    <w:rsid w:val="006649B3"/>
    <w:rsid w:val="006656B2"/>
    <w:rsid w:val="00665DA1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C11"/>
    <w:rsid w:val="00696E1C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28B4"/>
    <w:rsid w:val="006B2987"/>
    <w:rsid w:val="006B3E28"/>
    <w:rsid w:val="006B41CF"/>
    <w:rsid w:val="006B4F0C"/>
    <w:rsid w:val="006C15DE"/>
    <w:rsid w:val="006C3F86"/>
    <w:rsid w:val="006C4275"/>
    <w:rsid w:val="006C6479"/>
    <w:rsid w:val="006C6759"/>
    <w:rsid w:val="006C6C1E"/>
    <w:rsid w:val="006D0B76"/>
    <w:rsid w:val="006D4314"/>
    <w:rsid w:val="006D61FB"/>
    <w:rsid w:val="006E0139"/>
    <w:rsid w:val="006E16F5"/>
    <w:rsid w:val="006E1811"/>
    <w:rsid w:val="006E3D68"/>
    <w:rsid w:val="006E572D"/>
    <w:rsid w:val="006E591F"/>
    <w:rsid w:val="006F139A"/>
    <w:rsid w:val="006F59E2"/>
    <w:rsid w:val="006F702C"/>
    <w:rsid w:val="006F70F6"/>
    <w:rsid w:val="00701332"/>
    <w:rsid w:val="007056B3"/>
    <w:rsid w:val="00706042"/>
    <w:rsid w:val="00707EF0"/>
    <w:rsid w:val="00707F58"/>
    <w:rsid w:val="0071506A"/>
    <w:rsid w:val="007162B0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C79"/>
    <w:rsid w:val="00725D7F"/>
    <w:rsid w:val="007332F6"/>
    <w:rsid w:val="0073345B"/>
    <w:rsid w:val="00734139"/>
    <w:rsid w:val="00734382"/>
    <w:rsid w:val="00734951"/>
    <w:rsid w:val="00734FE3"/>
    <w:rsid w:val="00736FE0"/>
    <w:rsid w:val="00745442"/>
    <w:rsid w:val="00745CC8"/>
    <w:rsid w:val="00745D50"/>
    <w:rsid w:val="00747468"/>
    <w:rsid w:val="007475B5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68BF"/>
    <w:rsid w:val="00767969"/>
    <w:rsid w:val="00775DCE"/>
    <w:rsid w:val="00776422"/>
    <w:rsid w:val="007828D0"/>
    <w:rsid w:val="007833C8"/>
    <w:rsid w:val="007849AA"/>
    <w:rsid w:val="00785E42"/>
    <w:rsid w:val="00786614"/>
    <w:rsid w:val="00786961"/>
    <w:rsid w:val="00787BF8"/>
    <w:rsid w:val="00791330"/>
    <w:rsid w:val="007932F0"/>
    <w:rsid w:val="00795DC0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501A"/>
    <w:rsid w:val="007B5855"/>
    <w:rsid w:val="007C04B0"/>
    <w:rsid w:val="007C09DA"/>
    <w:rsid w:val="007C1B93"/>
    <w:rsid w:val="007C1F91"/>
    <w:rsid w:val="007C42C9"/>
    <w:rsid w:val="007C4B13"/>
    <w:rsid w:val="007C50F5"/>
    <w:rsid w:val="007C665C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C96"/>
    <w:rsid w:val="00804CD6"/>
    <w:rsid w:val="00806DF5"/>
    <w:rsid w:val="00806E90"/>
    <w:rsid w:val="00807C15"/>
    <w:rsid w:val="00810FF9"/>
    <w:rsid w:val="00811D53"/>
    <w:rsid w:val="0081246B"/>
    <w:rsid w:val="00813435"/>
    <w:rsid w:val="00816183"/>
    <w:rsid w:val="008167BA"/>
    <w:rsid w:val="00816D95"/>
    <w:rsid w:val="008179F4"/>
    <w:rsid w:val="00820E63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509"/>
    <w:rsid w:val="00844B85"/>
    <w:rsid w:val="008456C7"/>
    <w:rsid w:val="00845A69"/>
    <w:rsid w:val="00846536"/>
    <w:rsid w:val="00846DE1"/>
    <w:rsid w:val="00851A4B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734"/>
    <w:rsid w:val="00862F20"/>
    <w:rsid w:val="00865458"/>
    <w:rsid w:val="00866C93"/>
    <w:rsid w:val="0086773B"/>
    <w:rsid w:val="00872762"/>
    <w:rsid w:val="008728A2"/>
    <w:rsid w:val="00873F6A"/>
    <w:rsid w:val="00874E7C"/>
    <w:rsid w:val="008755D6"/>
    <w:rsid w:val="00876AEC"/>
    <w:rsid w:val="00881FD0"/>
    <w:rsid w:val="008829E0"/>
    <w:rsid w:val="00886907"/>
    <w:rsid w:val="00886B8D"/>
    <w:rsid w:val="00886DE6"/>
    <w:rsid w:val="00892A7A"/>
    <w:rsid w:val="00893516"/>
    <w:rsid w:val="00894882"/>
    <w:rsid w:val="00895401"/>
    <w:rsid w:val="00895CD7"/>
    <w:rsid w:val="00897E2E"/>
    <w:rsid w:val="008A018F"/>
    <w:rsid w:val="008A01AC"/>
    <w:rsid w:val="008A06CF"/>
    <w:rsid w:val="008A0E7B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6C"/>
    <w:rsid w:val="008C26F1"/>
    <w:rsid w:val="008C5827"/>
    <w:rsid w:val="008C6036"/>
    <w:rsid w:val="008C6051"/>
    <w:rsid w:val="008C7E04"/>
    <w:rsid w:val="008D0999"/>
    <w:rsid w:val="008D4A6F"/>
    <w:rsid w:val="008D5036"/>
    <w:rsid w:val="008D647E"/>
    <w:rsid w:val="008D6650"/>
    <w:rsid w:val="008D6C26"/>
    <w:rsid w:val="008D7196"/>
    <w:rsid w:val="008E0CF8"/>
    <w:rsid w:val="008E2926"/>
    <w:rsid w:val="008E5C6B"/>
    <w:rsid w:val="008E6E6F"/>
    <w:rsid w:val="008E7F66"/>
    <w:rsid w:val="008F0C47"/>
    <w:rsid w:val="008F0F76"/>
    <w:rsid w:val="008F17E7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102C4"/>
    <w:rsid w:val="00910EFA"/>
    <w:rsid w:val="00911805"/>
    <w:rsid w:val="00911ABD"/>
    <w:rsid w:val="00913A13"/>
    <w:rsid w:val="009154E5"/>
    <w:rsid w:val="00923893"/>
    <w:rsid w:val="0092416F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53A"/>
    <w:rsid w:val="00990CCB"/>
    <w:rsid w:val="00991678"/>
    <w:rsid w:val="00991D5B"/>
    <w:rsid w:val="009926BC"/>
    <w:rsid w:val="00993DA2"/>
    <w:rsid w:val="0099589C"/>
    <w:rsid w:val="0099655F"/>
    <w:rsid w:val="00997A82"/>
    <w:rsid w:val="009A0740"/>
    <w:rsid w:val="009A2260"/>
    <w:rsid w:val="009A3964"/>
    <w:rsid w:val="009A3B19"/>
    <w:rsid w:val="009A5F5B"/>
    <w:rsid w:val="009A69EC"/>
    <w:rsid w:val="009A7498"/>
    <w:rsid w:val="009B19FF"/>
    <w:rsid w:val="009B240D"/>
    <w:rsid w:val="009B2AE3"/>
    <w:rsid w:val="009B450E"/>
    <w:rsid w:val="009B4BE7"/>
    <w:rsid w:val="009B4FCB"/>
    <w:rsid w:val="009B5988"/>
    <w:rsid w:val="009B61B1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495F"/>
    <w:rsid w:val="009F1C65"/>
    <w:rsid w:val="009F1C6E"/>
    <w:rsid w:val="009F1E98"/>
    <w:rsid w:val="009F1ED3"/>
    <w:rsid w:val="009F1F76"/>
    <w:rsid w:val="009F2480"/>
    <w:rsid w:val="009F4714"/>
    <w:rsid w:val="009F5D2E"/>
    <w:rsid w:val="009F66EF"/>
    <w:rsid w:val="009F725D"/>
    <w:rsid w:val="00A02745"/>
    <w:rsid w:val="00A031A5"/>
    <w:rsid w:val="00A03997"/>
    <w:rsid w:val="00A047B6"/>
    <w:rsid w:val="00A07080"/>
    <w:rsid w:val="00A11E93"/>
    <w:rsid w:val="00A134F6"/>
    <w:rsid w:val="00A13788"/>
    <w:rsid w:val="00A13F24"/>
    <w:rsid w:val="00A1455A"/>
    <w:rsid w:val="00A149C2"/>
    <w:rsid w:val="00A163C6"/>
    <w:rsid w:val="00A17F8C"/>
    <w:rsid w:val="00A24247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F92"/>
    <w:rsid w:val="00A36F84"/>
    <w:rsid w:val="00A373C6"/>
    <w:rsid w:val="00A45F97"/>
    <w:rsid w:val="00A46C45"/>
    <w:rsid w:val="00A46C83"/>
    <w:rsid w:val="00A4711E"/>
    <w:rsid w:val="00A474AC"/>
    <w:rsid w:val="00A52E26"/>
    <w:rsid w:val="00A53F6D"/>
    <w:rsid w:val="00A54461"/>
    <w:rsid w:val="00A54472"/>
    <w:rsid w:val="00A61140"/>
    <w:rsid w:val="00A64421"/>
    <w:rsid w:val="00A65CE0"/>
    <w:rsid w:val="00A6628D"/>
    <w:rsid w:val="00A70B0B"/>
    <w:rsid w:val="00A71B2A"/>
    <w:rsid w:val="00A72C7D"/>
    <w:rsid w:val="00A76205"/>
    <w:rsid w:val="00A80926"/>
    <w:rsid w:val="00A82AE0"/>
    <w:rsid w:val="00A84029"/>
    <w:rsid w:val="00A845F7"/>
    <w:rsid w:val="00A86934"/>
    <w:rsid w:val="00A90857"/>
    <w:rsid w:val="00A90D76"/>
    <w:rsid w:val="00A92439"/>
    <w:rsid w:val="00A92918"/>
    <w:rsid w:val="00A95CC0"/>
    <w:rsid w:val="00AA0E9B"/>
    <w:rsid w:val="00AA1757"/>
    <w:rsid w:val="00AA243A"/>
    <w:rsid w:val="00AA56C0"/>
    <w:rsid w:val="00AA605C"/>
    <w:rsid w:val="00AB0C56"/>
    <w:rsid w:val="00AB207D"/>
    <w:rsid w:val="00AB78AE"/>
    <w:rsid w:val="00AB7B4A"/>
    <w:rsid w:val="00AC1435"/>
    <w:rsid w:val="00AC2213"/>
    <w:rsid w:val="00AC6085"/>
    <w:rsid w:val="00AC7BB0"/>
    <w:rsid w:val="00AD18C7"/>
    <w:rsid w:val="00AD23CB"/>
    <w:rsid w:val="00AD3F38"/>
    <w:rsid w:val="00AD42CD"/>
    <w:rsid w:val="00AD4D07"/>
    <w:rsid w:val="00AD5A9B"/>
    <w:rsid w:val="00AD6E07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11003"/>
    <w:rsid w:val="00B1404F"/>
    <w:rsid w:val="00B145C6"/>
    <w:rsid w:val="00B15312"/>
    <w:rsid w:val="00B167A9"/>
    <w:rsid w:val="00B169EC"/>
    <w:rsid w:val="00B2115E"/>
    <w:rsid w:val="00B22501"/>
    <w:rsid w:val="00B22EF1"/>
    <w:rsid w:val="00B26258"/>
    <w:rsid w:val="00B26A9E"/>
    <w:rsid w:val="00B30785"/>
    <w:rsid w:val="00B30958"/>
    <w:rsid w:val="00B32C30"/>
    <w:rsid w:val="00B342CB"/>
    <w:rsid w:val="00B34414"/>
    <w:rsid w:val="00B34474"/>
    <w:rsid w:val="00B34740"/>
    <w:rsid w:val="00B34EC6"/>
    <w:rsid w:val="00B3564C"/>
    <w:rsid w:val="00B36245"/>
    <w:rsid w:val="00B409EF"/>
    <w:rsid w:val="00B413F8"/>
    <w:rsid w:val="00B4156C"/>
    <w:rsid w:val="00B44FD2"/>
    <w:rsid w:val="00B47527"/>
    <w:rsid w:val="00B50468"/>
    <w:rsid w:val="00B52B68"/>
    <w:rsid w:val="00B55542"/>
    <w:rsid w:val="00B56BDA"/>
    <w:rsid w:val="00B60493"/>
    <w:rsid w:val="00B60AA1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92067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1680"/>
    <w:rsid w:val="00BA1BA7"/>
    <w:rsid w:val="00BA2685"/>
    <w:rsid w:val="00BA3440"/>
    <w:rsid w:val="00BA7B68"/>
    <w:rsid w:val="00BB0DDF"/>
    <w:rsid w:val="00BB1D56"/>
    <w:rsid w:val="00BB3EED"/>
    <w:rsid w:val="00BC0248"/>
    <w:rsid w:val="00BC0A77"/>
    <w:rsid w:val="00BC0D57"/>
    <w:rsid w:val="00BC5F2A"/>
    <w:rsid w:val="00BC64A3"/>
    <w:rsid w:val="00BC6AE5"/>
    <w:rsid w:val="00BD00EE"/>
    <w:rsid w:val="00BD1788"/>
    <w:rsid w:val="00BD2B8D"/>
    <w:rsid w:val="00BE069D"/>
    <w:rsid w:val="00BE1466"/>
    <w:rsid w:val="00BE16CF"/>
    <w:rsid w:val="00BE35FD"/>
    <w:rsid w:val="00BE58D9"/>
    <w:rsid w:val="00BE688B"/>
    <w:rsid w:val="00BE78ED"/>
    <w:rsid w:val="00BF05E2"/>
    <w:rsid w:val="00BF12A2"/>
    <w:rsid w:val="00BF450F"/>
    <w:rsid w:val="00BF5E4A"/>
    <w:rsid w:val="00C0104F"/>
    <w:rsid w:val="00C01847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1E8D"/>
    <w:rsid w:val="00C330E9"/>
    <w:rsid w:val="00C34580"/>
    <w:rsid w:val="00C348FD"/>
    <w:rsid w:val="00C353A0"/>
    <w:rsid w:val="00C354F6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C91"/>
    <w:rsid w:val="00C7520A"/>
    <w:rsid w:val="00C76CF6"/>
    <w:rsid w:val="00C77457"/>
    <w:rsid w:val="00C77BCA"/>
    <w:rsid w:val="00C81A51"/>
    <w:rsid w:val="00C8517C"/>
    <w:rsid w:val="00C86248"/>
    <w:rsid w:val="00C862E0"/>
    <w:rsid w:val="00C900E8"/>
    <w:rsid w:val="00C949CE"/>
    <w:rsid w:val="00C95C16"/>
    <w:rsid w:val="00C95D21"/>
    <w:rsid w:val="00C96345"/>
    <w:rsid w:val="00C96D65"/>
    <w:rsid w:val="00C973EF"/>
    <w:rsid w:val="00CA0B75"/>
    <w:rsid w:val="00CA229C"/>
    <w:rsid w:val="00CA3C72"/>
    <w:rsid w:val="00CA5631"/>
    <w:rsid w:val="00CA646D"/>
    <w:rsid w:val="00CA7BDC"/>
    <w:rsid w:val="00CA7C1F"/>
    <w:rsid w:val="00CB1070"/>
    <w:rsid w:val="00CB205D"/>
    <w:rsid w:val="00CB3398"/>
    <w:rsid w:val="00CB3485"/>
    <w:rsid w:val="00CB3486"/>
    <w:rsid w:val="00CB3AD5"/>
    <w:rsid w:val="00CB5894"/>
    <w:rsid w:val="00CB7194"/>
    <w:rsid w:val="00CB7715"/>
    <w:rsid w:val="00CC11CE"/>
    <w:rsid w:val="00CC139A"/>
    <w:rsid w:val="00CC2940"/>
    <w:rsid w:val="00CC4349"/>
    <w:rsid w:val="00CC44EC"/>
    <w:rsid w:val="00CC53C0"/>
    <w:rsid w:val="00CC689A"/>
    <w:rsid w:val="00CC741E"/>
    <w:rsid w:val="00CD0A47"/>
    <w:rsid w:val="00CD0C9A"/>
    <w:rsid w:val="00CD1643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295C"/>
    <w:rsid w:val="00CF2E89"/>
    <w:rsid w:val="00CF3E17"/>
    <w:rsid w:val="00CF5204"/>
    <w:rsid w:val="00CF55B0"/>
    <w:rsid w:val="00CF5735"/>
    <w:rsid w:val="00D019D9"/>
    <w:rsid w:val="00D05812"/>
    <w:rsid w:val="00D06407"/>
    <w:rsid w:val="00D075EA"/>
    <w:rsid w:val="00D1170C"/>
    <w:rsid w:val="00D13830"/>
    <w:rsid w:val="00D13FD2"/>
    <w:rsid w:val="00D14B34"/>
    <w:rsid w:val="00D14EFA"/>
    <w:rsid w:val="00D15E55"/>
    <w:rsid w:val="00D201EE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71DA"/>
    <w:rsid w:val="00D40867"/>
    <w:rsid w:val="00D42FE4"/>
    <w:rsid w:val="00D45A9E"/>
    <w:rsid w:val="00D5008C"/>
    <w:rsid w:val="00D52A17"/>
    <w:rsid w:val="00D5682C"/>
    <w:rsid w:val="00D57778"/>
    <w:rsid w:val="00D57F2A"/>
    <w:rsid w:val="00D60619"/>
    <w:rsid w:val="00D614C3"/>
    <w:rsid w:val="00D648F5"/>
    <w:rsid w:val="00D66712"/>
    <w:rsid w:val="00D679AC"/>
    <w:rsid w:val="00D703E3"/>
    <w:rsid w:val="00D70497"/>
    <w:rsid w:val="00D72DA1"/>
    <w:rsid w:val="00D807B3"/>
    <w:rsid w:val="00D80910"/>
    <w:rsid w:val="00D8117E"/>
    <w:rsid w:val="00D830E2"/>
    <w:rsid w:val="00D85D99"/>
    <w:rsid w:val="00D86981"/>
    <w:rsid w:val="00D87C84"/>
    <w:rsid w:val="00D93A06"/>
    <w:rsid w:val="00D94DC8"/>
    <w:rsid w:val="00DA1F14"/>
    <w:rsid w:val="00DA2C3F"/>
    <w:rsid w:val="00DA46C6"/>
    <w:rsid w:val="00DA4F0F"/>
    <w:rsid w:val="00DA6724"/>
    <w:rsid w:val="00DB1F9A"/>
    <w:rsid w:val="00DB3EE5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3140"/>
    <w:rsid w:val="00DD3D81"/>
    <w:rsid w:val="00DD6717"/>
    <w:rsid w:val="00DD7E57"/>
    <w:rsid w:val="00DE09E4"/>
    <w:rsid w:val="00DE0D15"/>
    <w:rsid w:val="00DE1043"/>
    <w:rsid w:val="00DE3D38"/>
    <w:rsid w:val="00DE3DFC"/>
    <w:rsid w:val="00DE7F92"/>
    <w:rsid w:val="00DF0163"/>
    <w:rsid w:val="00DF2FDC"/>
    <w:rsid w:val="00DF4507"/>
    <w:rsid w:val="00DF715F"/>
    <w:rsid w:val="00DF741F"/>
    <w:rsid w:val="00DF7A6E"/>
    <w:rsid w:val="00E009B0"/>
    <w:rsid w:val="00E01350"/>
    <w:rsid w:val="00E01DD8"/>
    <w:rsid w:val="00E04D83"/>
    <w:rsid w:val="00E051F2"/>
    <w:rsid w:val="00E077BC"/>
    <w:rsid w:val="00E07FA2"/>
    <w:rsid w:val="00E11E17"/>
    <w:rsid w:val="00E11F5D"/>
    <w:rsid w:val="00E13342"/>
    <w:rsid w:val="00E2240A"/>
    <w:rsid w:val="00E22480"/>
    <w:rsid w:val="00E232E3"/>
    <w:rsid w:val="00E25AF6"/>
    <w:rsid w:val="00E262D2"/>
    <w:rsid w:val="00E2753F"/>
    <w:rsid w:val="00E278B2"/>
    <w:rsid w:val="00E31166"/>
    <w:rsid w:val="00E32026"/>
    <w:rsid w:val="00E34E9B"/>
    <w:rsid w:val="00E3633B"/>
    <w:rsid w:val="00E367E3"/>
    <w:rsid w:val="00E408EF"/>
    <w:rsid w:val="00E412AF"/>
    <w:rsid w:val="00E421CB"/>
    <w:rsid w:val="00E4275C"/>
    <w:rsid w:val="00E43F4A"/>
    <w:rsid w:val="00E51424"/>
    <w:rsid w:val="00E53181"/>
    <w:rsid w:val="00E57A0B"/>
    <w:rsid w:val="00E6089A"/>
    <w:rsid w:val="00E63C2E"/>
    <w:rsid w:val="00E63EB0"/>
    <w:rsid w:val="00E648B2"/>
    <w:rsid w:val="00E6735B"/>
    <w:rsid w:val="00E7099B"/>
    <w:rsid w:val="00E70F3A"/>
    <w:rsid w:val="00E71FCF"/>
    <w:rsid w:val="00E72267"/>
    <w:rsid w:val="00E813A5"/>
    <w:rsid w:val="00E81A39"/>
    <w:rsid w:val="00E81D17"/>
    <w:rsid w:val="00E83191"/>
    <w:rsid w:val="00E84776"/>
    <w:rsid w:val="00E8753B"/>
    <w:rsid w:val="00E907C4"/>
    <w:rsid w:val="00E936FF"/>
    <w:rsid w:val="00E93BD4"/>
    <w:rsid w:val="00E95848"/>
    <w:rsid w:val="00E958E8"/>
    <w:rsid w:val="00EA12AA"/>
    <w:rsid w:val="00EA21C8"/>
    <w:rsid w:val="00EA41B1"/>
    <w:rsid w:val="00EA65C2"/>
    <w:rsid w:val="00EA698A"/>
    <w:rsid w:val="00EA7F2E"/>
    <w:rsid w:val="00EB0B08"/>
    <w:rsid w:val="00EB2C24"/>
    <w:rsid w:val="00EB2E8B"/>
    <w:rsid w:val="00EB3D53"/>
    <w:rsid w:val="00EB41A4"/>
    <w:rsid w:val="00EB44F2"/>
    <w:rsid w:val="00EB4578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6175"/>
    <w:rsid w:val="00F06ACF"/>
    <w:rsid w:val="00F11D67"/>
    <w:rsid w:val="00F1329D"/>
    <w:rsid w:val="00F13B7E"/>
    <w:rsid w:val="00F14C1A"/>
    <w:rsid w:val="00F15DC9"/>
    <w:rsid w:val="00F16665"/>
    <w:rsid w:val="00F1770E"/>
    <w:rsid w:val="00F222BB"/>
    <w:rsid w:val="00F26D34"/>
    <w:rsid w:val="00F318A1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5100C"/>
    <w:rsid w:val="00F5172E"/>
    <w:rsid w:val="00F53D3B"/>
    <w:rsid w:val="00F5612F"/>
    <w:rsid w:val="00F568C8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40D6"/>
    <w:rsid w:val="00F74999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29E3"/>
    <w:rsid w:val="00FD602C"/>
    <w:rsid w:val="00FE002E"/>
    <w:rsid w:val="00FE079A"/>
    <w:rsid w:val="00FE2442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5E2C29"/>
  <w15:docId w15:val="{00D8F421-2BB9-4206-A523-C1E396F1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3035-14CD-4DFC-A03C-4DA63257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6861</Words>
  <Characters>41170</Characters>
  <Application>Microsoft Office Word</Application>
  <DocSecurity>0</DocSecurity>
  <Lines>343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47936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revision>3</cp:revision>
  <cp:lastPrinted>2016-12-13T09:31:00Z</cp:lastPrinted>
  <dcterms:created xsi:type="dcterms:W3CDTF">2016-12-29T13:30:00Z</dcterms:created>
  <dcterms:modified xsi:type="dcterms:W3CDTF">2016-12-29T14:48:00Z</dcterms:modified>
</cp:coreProperties>
</file>