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221" w:rsidRDefault="0078441F">
      <w:pPr>
        <w:pStyle w:val="Tekstpodstawowy"/>
        <w:spacing w:after="0" w:line="276" w:lineRule="auto"/>
        <w:rPr>
          <w:rFonts w:ascii="Calibri" w:hAnsi="Calibri"/>
          <w:b/>
          <w:bCs/>
        </w:rPr>
      </w:pPr>
      <w:r>
        <w:rPr>
          <w:noProof/>
        </w:rPr>
        <w:drawing>
          <wp:inline distT="0" distB="0" distL="0" distR="0">
            <wp:extent cx="5657850" cy="609600"/>
            <wp:effectExtent l="0" t="0" r="0" b="0"/>
            <wp:docPr id="1073741825" name="officeArt object" descr="Ciąg z logami: Fundusze Europejskie Polska Wschodnia, Rzeczpospolita Polska, PARP Grupa PFR, Unia Europejska Europejski Fundusz Rozwoju Regionalnego" title="Pasek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iąg z logami: Fundusze Europejskie Polska Wschodnia, Rzeczpospolita Polska, PARP Grupa PFR, Unia Europejska Europejski Fundusz Rozwoju Regionalnego" descr="Ciąg z logami: Fundusze Europejskie Polska Wschodnia, Rzeczpospolita Polska, PARP Grupa PFR, Unia Europejska Europejski Fundusz Rozwoju Regionalnego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C5221" w:rsidRDefault="0078441F">
      <w:pPr>
        <w:pStyle w:val="Tekstpodstawowy"/>
        <w:spacing w:before="240" w:after="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Polska Agencja Rozwoju Przedsiębiorczości</w:t>
      </w:r>
    </w:p>
    <w:p w:rsidR="001C5221" w:rsidRDefault="0078441F">
      <w:pPr>
        <w:spacing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ul. Pańska 81/83</w:t>
      </w:r>
    </w:p>
    <w:p w:rsidR="001C5221" w:rsidRDefault="0078441F">
      <w:pPr>
        <w:spacing w:after="600"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00-834 Warszawa</w:t>
      </w:r>
    </w:p>
    <w:p w:rsidR="001C5221" w:rsidRDefault="0078441F">
      <w:pPr>
        <w:pStyle w:val="Nagwek1"/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Regulamin konkursu</w:t>
      </w:r>
    </w:p>
    <w:p w:rsidR="001C5221" w:rsidRDefault="0078441F">
      <w:pPr>
        <w:pStyle w:val="Nagwek1"/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 ramach</w:t>
      </w:r>
    </w:p>
    <w:p w:rsidR="001C5221" w:rsidRDefault="0078441F">
      <w:pPr>
        <w:pStyle w:val="Nagwek1"/>
        <w:spacing w:before="0" w:after="600" w:line="276" w:lineRule="auto"/>
      </w:pPr>
      <w:r>
        <w:rPr>
          <w:rFonts w:ascii="Calibri" w:hAnsi="Calibri"/>
          <w:sz w:val="28"/>
          <w:szCs w:val="28"/>
        </w:rPr>
        <w:t>Programu Operacyjnego Polska Wschodnia 2014-2020</w:t>
      </w:r>
    </w:p>
    <w:p w:rsidR="001C5221" w:rsidRDefault="0078441F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oś priorytetowa I: Przedsiębiorcza Polska Wschodnia</w:t>
      </w:r>
    </w:p>
    <w:p w:rsidR="001C5221" w:rsidRDefault="0078441F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działanie 1.3 Ponadregionalne powiązania kooperacyjne</w:t>
      </w:r>
    </w:p>
    <w:p w:rsidR="001C5221" w:rsidRDefault="0078441F">
      <w:pPr>
        <w:spacing w:after="1200"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poddziałanie 1.3.2 Tworzenie sieciowych produktów przez MŚP</w:t>
      </w:r>
    </w:p>
    <w:p w:rsidR="001C5221" w:rsidRDefault="0078441F">
      <w:pPr>
        <w:spacing w:after="600" w:line="276" w:lineRule="auto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Kwota przeznaczona na dofinansowanie projektów w konkursie: 420 000 000,00 zł</w:t>
      </w:r>
    </w:p>
    <w:p w:rsidR="001C5221" w:rsidRDefault="0078441F">
      <w:pPr>
        <w:spacing w:line="276" w:lineRule="auto"/>
        <w:rPr>
          <w:rFonts w:ascii="Calibri" w:eastAsia="Calibri" w:hAnsi="Calibri" w:cs="Calibri"/>
        </w:rPr>
      </w:pPr>
      <w:r w:rsidRPr="007A274B">
        <w:rPr>
          <w:rFonts w:ascii="Calibri" w:hAnsi="Calibri"/>
          <w:b/>
        </w:rPr>
        <w:t>Nr konkursu: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5</w:t>
      </w:r>
    </w:p>
    <w:p w:rsidR="001C5221" w:rsidRDefault="0078441F">
      <w:pPr>
        <w:spacing w:after="600" w:line="276" w:lineRule="auto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Rok: 2019</w:t>
      </w:r>
    </w:p>
    <w:p w:rsidR="001C5221" w:rsidRPr="00C82D86" w:rsidRDefault="00C82D86">
      <w:pPr>
        <w:spacing w:line="276" w:lineRule="auto"/>
        <w:rPr>
          <w:rFonts w:ascii="Calibri" w:eastAsia="Calibri" w:hAnsi="Calibri" w:cs="Calibri"/>
          <w:b/>
          <w:bCs/>
          <w:iCs/>
        </w:rPr>
      </w:pPr>
      <w:r w:rsidRPr="00C82D86">
        <w:rPr>
          <w:rFonts w:ascii="Calibri" w:hAnsi="Calibri"/>
          <w:iCs/>
        </w:rPr>
        <w:t>2020-04-07</w:t>
      </w:r>
    </w:p>
    <w:p w:rsidR="001C5221" w:rsidRDefault="0078441F">
      <w:pPr>
        <w:pStyle w:val="Nagwek2"/>
        <w:spacing w:after="240" w:line="276" w:lineRule="auto"/>
      </w:pPr>
      <w:r>
        <w:rPr>
          <w:rFonts w:ascii="Arial Unicode MS" w:eastAsia="Arial Unicode MS" w:hAnsi="Arial Unicode MS" w:cs="Arial Unicode MS"/>
          <w:b w:val="0"/>
          <w:bCs w:val="0"/>
          <w:i w:val="0"/>
          <w:iCs w:val="0"/>
          <w:sz w:val="24"/>
          <w:szCs w:val="24"/>
        </w:rPr>
        <w:br w:type="page"/>
      </w:r>
    </w:p>
    <w:p w:rsidR="001C5221" w:rsidRDefault="0078441F">
      <w:pPr>
        <w:pStyle w:val="Nagwek2"/>
        <w:spacing w:after="240" w:line="276" w:lineRule="auto"/>
        <w:rPr>
          <w:rFonts w:ascii="Calibri" w:eastAsia="Calibri" w:hAnsi="Calibri" w:cs="Calibri"/>
          <w:i w:val="0"/>
          <w:iCs w:val="0"/>
        </w:rPr>
      </w:pPr>
      <w:r>
        <w:rPr>
          <w:rFonts w:ascii="Calibri" w:hAnsi="Calibri"/>
          <w:i w:val="0"/>
          <w:iCs w:val="0"/>
        </w:rPr>
        <w:lastRenderedPageBreak/>
        <w:t>§1. Podstawy prawne</w:t>
      </w:r>
    </w:p>
    <w:p w:rsidR="001C5221" w:rsidRDefault="0078441F" w:rsidP="00781948">
      <w:pPr>
        <w:numPr>
          <w:ilvl w:val="0"/>
          <w:numId w:val="2"/>
        </w:numPr>
        <w:spacing w:after="120" w:line="276" w:lineRule="auto"/>
        <w:ind w:hanging="357"/>
        <w:rPr>
          <w:rFonts w:ascii="Calibri" w:hAnsi="Calibri"/>
        </w:rPr>
      </w:pPr>
      <w:r>
        <w:rPr>
          <w:rFonts w:ascii="Calibri" w:hAnsi="Calibri"/>
        </w:rPr>
        <w:t>Niniejszy regulamin został przygotowany na podstawie:</w:t>
      </w:r>
    </w:p>
    <w:p w:rsidR="001C5221" w:rsidRDefault="0078441F" w:rsidP="00781948">
      <w:pPr>
        <w:numPr>
          <w:ilvl w:val="0"/>
          <w:numId w:val="4"/>
        </w:numPr>
        <w:spacing w:after="120" w:line="276" w:lineRule="auto"/>
        <w:ind w:hanging="357"/>
        <w:rPr>
          <w:rFonts w:ascii="Calibri" w:hAnsi="Calibri"/>
        </w:rPr>
      </w:pPr>
      <w:r>
        <w:rPr>
          <w:rFonts w:ascii="Calibri" w:hAnsi="Calibri"/>
        </w:rPr>
        <w:t xml:space="preserve">art. 41 ust. 1 ustawy z dnia 11 lipca 2014 r. o zasadach realizacji programów w zakresie polityki spójności finansowanych w perspektywie finansowej 2014-2020 (Dz. U. z 2018 r. poz. 1431, z późn. zm.), zwanej </w:t>
      </w:r>
      <w:r>
        <w:rPr>
          <w:rFonts w:ascii="Calibri" w:hAnsi="Calibri"/>
          <w:b/>
          <w:bCs/>
        </w:rPr>
        <w:t>„ustawą wdrożeniową”</w:t>
      </w:r>
      <w:r>
        <w:rPr>
          <w:rFonts w:ascii="Calibri" w:hAnsi="Calibri"/>
        </w:rPr>
        <w:t xml:space="preserve">; </w:t>
      </w:r>
    </w:p>
    <w:p w:rsidR="001C5221" w:rsidRDefault="0078441F" w:rsidP="00781948">
      <w:pPr>
        <w:numPr>
          <w:ilvl w:val="0"/>
          <w:numId w:val="4"/>
        </w:numPr>
        <w:spacing w:after="120" w:line="276" w:lineRule="auto"/>
        <w:ind w:hanging="357"/>
        <w:rPr>
          <w:rFonts w:ascii="Calibri" w:hAnsi="Calibri"/>
        </w:rPr>
      </w:pPr>
      <w:r>
        <w:rPr>
          <w:rFonts w:ascii="Calibri" w:hAnsi="Calibri"/>
        </w:rPr>
        <w:t>Wytycznych w zakresie trybów wyboru projektów na lata 2014-2020;</w:t>
      </w:r>
    </w:p>
    <w:p w:rsidR="001C5221" w:rsidRDefault="0078441F" w:rsidP="00781948">
      <w:pPr>
        <w:numPr>
          <w:ilvl w:val="0"/>
          <w:numId w:val="4"/>
        </w:numPr>
        <w:spacing w:after="120" w:line="276" w:lineRule="auto"/>
        <w:ind w:hanging="357"/>
        <w:rPr>
          <w:rFonts w:ascii="Calibri" w:hAnsi="Calibri"/>
        </w:rPr>
      </w:pPr>
      <w:r>
        <w:rPr>
          <w:rFonts w:ascii="Calibri" w:hAnsi="Calibri"/>
        </w:rPr>
        <w:t>porozumienia z dnia 28 kwietnia 2015 r. w sprawie powierzenia realizacji Programu Operacyjnego Polska Wschodnia 2014-2020 w zakresie osi priorytetowych: I Przedsiębiorcza Polska Wschodnia i  II Nowoczesna Infrastruktura Transportowa zawartego pomiędzy Ministrem Infrastruktury i Rozwoju a Polską Agencją Rozwoju Przedsiębiorczości, z późn. zm.</w:t>
      </w:r>
    </w:p>
    <w:p w:rsidR="001C5221" w:rsidRDefault="0078441F">
      <w:pPr>
        <w:numPr>
          <w:ilvl w:val="0"/>
          <w:numId w:val="5"/>
        </w:numPr>
        <w:spacing w:before="120" w:after="120" w:line="276" w:lineRule="auto"/>
        <w:rPr>
          <w:rFonts w:ascii="Calibri" w:hAnsi="Calibri"/>
        </w:rPr>
      </w:pPr>
      <w:r>
        <w:rPr>
          <w:rFonts w:ascii="Calibri" w:hAnsi="Calibri"/>
        </w:rPr>
        <w:t>Poddziałanie realizowane jest w szczególności zgodnie z następującymi regulacjami krajowymi:</w:t>
      </w:r>
    </w:p>
    <w:p w:rsidR="001C5221" w:rsidRDefault="0078441F">
      <w:pPr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Programem Operacyjnym Polska Wschodnia 2014-2020, zatwierdzonym decyzją Komisji Europejskiej z dnia 16 grudnia 2014 r., z późn. zm., zwanym „</w:t>
      </w:r>
      <w:r>
        <w:rPr>
          <w:rFonts w:ascii="Calibri" w:hAnsi="Calibri"/>
          <w:b/>
          <w:bCs/>
        </w:rPr>
        <w:t>POPW”</w:t>
      </w:r>
      <w:r>
        <w:rPr>
          <w:rFonts w:ascii="Calibri" w:hAnsi="Calibri"/>
        </w:rPr>
        <w:t>;</w:t>
      </w:r>
    </w:p>
    <w:p w:rsidR="001C5221" w:rsidRDefault="0078441F">
      <w:pPr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Szczegółowym Opisem Osi Priorytetowych Programu Operacyjnego Polska Wschodnia 2014-2020, zwanym </w:t>
      </w:r>
      <w:r>
        <w:rPr>
          <w:rFonts w:ascii="Calibri" w:hAnsi="Calibri"/>
          <w:b/>
          <w:bCs/>
        </w:rPr>
        <w:t>„SZOOP”</w:t>
      </w:r>
      <w:r>
        <w:rPr>
          <w:rFonts w:ascii="Calibri" w:hAnsi="Calibri"/>
        </w:rPr>
        <w:t>;</w:t>
      </w:r>
    </w:p>
    <w:p w:rsidR="001C5221" w:rsidRDefault="0078441F">
      <w:pPr>
        <w:pStyle w:val="Default"/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Umową Partnerstwa przyjętą przez Radę Ministrów w dniu 5 lipca 2017 r., zatwierdzoną przez Komisję Europejską w dniu 23 października 2017 r.;</w:t>
      </w:r>
    </w:p>
    <w:p w:rsidR="001C5221" w:rsidRDefault="0078441F">
      <w:pPr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ustawą z dnia 9 listopada 2000 r. o utworzeniu Polskiej Agencji Rozwoju Przedsiębiorczości (Dz. U. z 2018 r., poz. 110, z późn. zm.), zwaną </w:t>
      </w:r>
      <w:r>
        <w:rPr>
          <w:rFonts w:ascii="Calibri" w:hAnsi="Calibri"/>
          <w:b/>
          <w:bCs/>
        </w:rPr>
        <w:t>„ustawą o PARP”</w:t>
      </w:r>
      <w:r>
        <w:rPr>
          <w:rFonts w:ascii="Calibri" w:hAnsi="Calibri"/>
        </w:rPr>
        <w:t>;</w:t>
      </w:r>
    </w:p>
    <w:p w:rsidR="001C5221" w:rsidRDefault="0078441F">
      <w:pPr>
        <w:pStyle w:val="Default"/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ustawą z dnia 27 sierpnia 2009 r. o finansach publicznych (Dz. U. z 2017 r. poz. 2077, z późn. zm.); </w:t>
      </w:r>
    </w:p>
    <w:p w:rsidR="001C5221" w:rsidRDefault="0078441F">
      <w:pPr>
        <w:pStyle w:val="Default"/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ustawą z dnia 30 kwietnia 2004 r. o postępowaniu w sprawach dotyczących pomocy publicznej (Dz. U. z 2018 r. poz. 362); </w:t>
      </w:r>
    </w:p>
    <w:p w:rsidR="001C5221" w:rsidRDefault="0078441F">
      <w:pPr>
        <w:pStyle w:val="Default"/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ustawą z dnia 17 lutego 2005 r. o informatyzacji działalności podmiotów realizujących zadania publiczne (Dz. U. z 2017 r. poz. 570, z późn. zm.);</w:t>
      </w:r>
    </w:p>
    <w:p w:rsidR="001C5221" w:rsidRDefault="0078441F">
      <w:pPr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rozporządzeniem Ministra Infrastruktury i Rozwoju z dnia 13 lipca 2015 r. w sprawie udzielania przez Polską Agencję Rozwoju Przedsiębiorczości pomocy finansowej w ramach osi I Przedsiębiorcza Polska Wschodnia Programu Operacyjnego Polska Wschodnia 2014-2020 (Dz. U. z 2018 r. poz. 737, z późn. zm.), zwanym </w:t>
      </w:r>
      <w:r>
        <w:rPr>
          <w:rFonts w:ascii="Calibri" w:hAnsi="Calibri"/>
          <w:b/>
          <w:bCs/>
        </w:rPr>
        <w:t>„rozporządzeniem”</w:t>
      </w:r>
      <w:r>
        <w:rPr>
          <w:rFonts w:ascii="Calibri" w:hAnsi="Calibri"/>
        </w:rPr>
        <w:t>;</w:t>
      </w:r>
    </w:p>
    <w:p w:rsidR="001C5221" w:rsidRDefault="0078441F">
      <w:pPr>
        <w:pStyle w:val="Default"/>
        <w:numPr>
          <w:ilvl w:val="0"/>
          <w:numId w:val="7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wytycznymi w zakresie kwalifikowalności wydatków w ramach Europejskiego Funduszu Rozwoju Regionalnego, Europejskiego Funduszu Społecznego oraz Funduszu Spójności na lata 2014-2020, zwanymi „</w:t>
      </w:r>
      <w:r>
        <w:rPr>
          <w:rFonts w:ascii="Calibri" w:hAnsi="Calibri"/>
          <w:b/>
          <w:bCs/>
        </w:rPr>
        <w:t>wytycznymi w zakresie kwalifikowalności</w:t>
      </w:r>
      <w:r>
        <w:rPr>
          <w:rFonts w:ascii="Calibri" w:hAnsi="Calibri"/>
        </w:rPr>
        <w:t>”.</w:t>
      </w:r>
    </w:p>
    <w:p w:rsidR="001C5221" w:rsidRDefault="0078441F">
      <w:pPr>
        <w:numPr>
          <w:ilvl w:val="0"/>
          <w:numId w:val="8"/>
        </w:numPr>
        <w:spacing w:before="120" w:after="120" w:line="276" w:lineRule="auto"/>
        <w:rPr>
          <w:rFonts w:ascii="Calibri" w:hAnsi="Calibri"/>
        </w:rPr>
      </w:pPr>
      <w:r>
        <w:rPr>
          <w:rFonts w:ascii="Calibri" w:hAnsi="Calibri"/>
        </w:rPr>
        <w:t>Poddziałanie realizowane jest w szczególności zgodnie z następującymi regulacjami unijnymi:</w:t>
      </w:r>
    </w:p>
    <w:p w:rsidR="001C5221" w:rsidRDefault="0078441F">
      <w:pPr>
        <w:numPr>
          <w:ilvl w:val="0"/>
          <w:numId w:val="10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rozporządzeniem Parlamentu Europejskiego i Rady (UE) nr 1303/2013 z dnia 17 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Europejskiego Funduszu Morskiego i Rybackiego oraz uchylającym rozporządzenie Rady (WE) nr 1083/2006 (Dz. Urz. UE L 347 z 20.12.2013 r., str. 320, z późn. zm.), zwanym </w:t>
      </w:r>
      <w:r>
        <w:rPr>
          <w:rFonts w:ascii="Calibri" w:hAnsi="Calibri"/>
          <w:b/>
          <w:bCs/>
        </w:rPr>
        <w:t>„rozporządzeniem nr 1303/2013”</w:t>
      </w:r>
      <w:r>
        <w:rPr>
          <w:rFonts w:ascii="Calibri" w:hAnsi="Calibri"/>
        </w:rPr>
        <w:t>;</w:t>
      </w:r>
    </w:p>
    <w:p w:rsidR="001C5221" w:rsidRDefault="0078441F">
      <w:pPr>
        <w:numPr>
          <w:ilvl w:val="0"/>
          <w:numId w:val="10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rozporządzeniem Parlamentu Europejskiego i Rady (UE) nr 1301/2013 z dnia 17 grudnia 2013 r. w sprawie Europejskiego Funduszu Rozwoju Regionalnego i przepisów szczególnych dotyczących celu „Inwestycje na rzecz wzrostu i zatrudnienia” oraz w sprawie uchylenia rozporządzenia (WE) nr 1080/2006 (Dz. Urz. UE L 347 z 20.12.2013, str. 289, z późn. zm.), zwanym „</w:t>
      </w:r>
      <w:r>
        <w:rPr>
          <w:rFonts w:ascii="Calibri" w:hAnsi="Calibri"/>
          <w:b/>
          <w:bCs/>
        </w:rPr>
        <w:t>rozporządzeniem nr 1301/2013”</w:t>
      </w:r>
      <w:r>
        <w:rPr>
          <w:rFonts w:ascii="Calibri" w:hAnsi="Calibri"/>
        </w:rPr>
        <w:t>;</w:t>
      </w:r>
    </w:p>
    <w:p w:rsidR="001C5221" w:rsidRDefault="0078441F">
      <w:pPr>
        <w:numPr>
          <w:ilvl w:val="0"/>
          <w:numId w:val="10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rozporządzeniem Komisji (UE) Nr 651/2014 z dnia 17 czerwca 2014 r. uznającym niektóre rodzaje pomocy za zgodne z rynkiem wewnętrznym w zastosowaniu art. 107 i 108 Traktatu (Dz. Urz. UE L 187 z 26.06.2014, str. 1, z późn. zm.), zwanym „</w:t>
      </w:r>
      <w:r>
        <w:rPr>
          <w:rFonts w:ascii="Calibri" w:hAnsi="Calibri"/>
          <w:b/>
          <w:bCs/>
        </w:rPr>
        <w:t>rozporządzeniem KE nr 651/2014</w:t>
      </w:r>
      <w:r>
        <w:rPr>
          <w:rFonts w:ascii="Calibri" w:hAnsi="Calibri"/>
        </w:rPr>
        <w:t>”;</w:t>
      </w:r>
    </w:p>
    <w:p w:rsidR="001C5221" w:rsidRDefault="0078441F">
      <w:pPr>
        <w:numPr>
          <w:ilvl w:val="0"/>
          <w:numId w:val="10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rozporządzeniem Komisji (UE) nr 1407/2013 z dnia 18 grudnia 2013 r. w sprawie stosowania art. 107 i 108 Traktatu o funkcjonowaniu Unii Europejskiej do </w:t>
      </w:r>
      <w:r>
        <w:rPr>
          <w:rFonts w:ascii="Calibri" w:hAnsi="Calibri"/>
          <w:i/>
          <w:iCs/>
        </w:rPr>
        <w:t>pomocy de minimis</w:t>
      </w:r>
      <w:r>
        <w:rPr>
          <w:rFonts w:ascii="Calibri" w:hAnsi="Calibri"/>
        </w:rPr>
        <w:t xml:space="preserve"> (Dz. Urz. UE L 352 z 24.12.2013, str. 1), zwanym „</w:t>
      </w:r>
      <w:r>
        <w:rPr>
          <w:rFonts w:ascii="Calibri" w:hAnsi="Calibri"/>
          <w:b/>
          <w:bCs/>
        </w:rPr>
        <w:t>rozporządzeniem KE nr 1407/2013</w:t>
      </w:r>
      <w:r>
        <w:rPr>
          <w:rFonts w:ascii="Calibri" w:hAnsi="Calibri"/>
        </w:rPr>
        <w:t>”;</w:t>
      </w:r>
    </w:p>
    <w:p w:rsidR="001C5221" w:rsidRDefault="0078441F">
      <w:pPr>
        <w:numPr>
          <w:ilvl w:val="0"/>
          <w:numId w:val="10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rozporządzeniem delegowanym Komisji (UE) nr 480/2014 z dnia 3 marca 2014 r. uzupełniającym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 Urz. UE L 138 z 13.5.2014 r., str. 5, z późn. zm.).</w:t>
      </w:r>
    </w:p>
    <w:p w:rsidR="001C5221" w:rsidRDefault="0078441F">
      <w:pPr>
        <w:pStyle w:val="Nagwek2"/>
        <w:spacing w:after="240" w:line="276" w:lineRule="auto"/>
        <w:rPr>
          <w:rFonts w:ascii="Calibri" w:eastAsia="Calibri" w:hAnsi="Calibri" w:cs="Calibri"/>
          <w:i w:val="0"/>
          <w:iCs w:val="0"/>
        </w:rPr>
      </w:pPr>
      <w:r>
        <w:rPr>
          <w:rFonts w:ascii="Calibri" w:hAnsi="Calibri"/>
          <w:i w:val="0"/>
          <w:iCs w:val="0"/>
        </w:rPr>
        <w:t>§2. Określenia i skróty</w:t>
      </w:r>
    </w:p>
    <w:p w:rsidR="001C5221" w:rsidRDefault="0078441F">
      <w:pPr>
        <w:spacing w:after="120"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Użyte w regulaminie określenia i skróty oznaczają:</w:t>
      </w:r>
    </w:p>
    <w:p w:rsidR="001C5221" w:rsidRDefault="0078441F" w:rsidP="00D62FEE">
      <w:pPr>
        <w:numPr>
          <w:ilvl w:val="0"/>
          <w:numId w:val="12"/>
        </w:numPr>
        <w:tabs>
          <w:tab w:val="clear" w:pos="708"/>
          <w:tab w:val="num" w:pos="709"/>
        </w:tabs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>beneficjent</w:t>
      </w:r>
      <w:r>
        <w:rPr>
          <w:rFonts w:ascii="Calibri" w:hAnsi="Calibri"/>
        </w:rPr>
        <w:t xml:space="preserve"> – podmiot, o którym mowa w art. 2 pkt 1 ustawy wdrożeniowej;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członek konsorcjum (partner) – </w:t>
      </w:r>
      <w:r>
        <w:rPr>
          <w:rFonts w:ascii="Calibri" w:hAnsi="Calibri"/>
        </w:rPr>
        <w:t>podmiot wymieniony we wniosku o dofinansowanie, realizujący projekt wspólnie z wnioskodawcą, na warunkach określonych w umowie o dofinansowanie projektu oraz umowie o partnerstwie, uprawniony do ponoszenia wydatków kwalifikowalnych;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>dni –</w:t>
      </w:r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</w:rPr>
        <w:t>dni kalendarzowe;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dni robocze - </w:t>
      </w:r>
      <w:r>
        <w:rPr>
          <w:rFonts w:ascii="Calibri" w:hAnsi="Calibri"/>
        </w:rPr>
        <w:t>dni z wyłączeniem sobót i dni ustawowo wolnych od pracy;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ekspert – </w:t>
      </w:r>
      <w:r>
        <w:rPr>
          <w:rFonts w:ascii="Calibri" w:hAnsi="Calibri"/>
        </w:rPr>
        <w:t>osobę, o której mowa w rozdziale 15a ustawy wdrożeniowej;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Generator Wniosków (GW) </w:t>
      </w:r>
      <w:r>
        <w:rPr>
          <w:rFonts w:ascii="Calibri" w:hAnsi="Calibri"/>
        </w:rPr>
        <w:t>– narzędzie informatyczne udostępnione za pośrednictwem strony internetowej PARP umożliwiające wnioskodawcy utworzenie indywidualnego konta w systemie informatycznym PARP oraz złożenie wniosku o dofinansowanie w konkursie przeprowadzanym w ramach poddziałania;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>Instytucja Pośrednicząca (IP)</w:t>
      </w:r>
      <w:r>
        <w:rPr>
          <w:rFonts w:ascii="Calibri" w:hAnsi="Calibri"/>
        </w:rPr>
        <w:t xml:space="preserve"> – podmiot, o którym mowa w art. 2 pkt 9 ustawy wdrożeniowej. W przypadku poddziałania funkcję</w:t>
      </w:r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</w:rPr>
        <w:t>Instytucji Pośredniczącej pełni Polska Agencja Rozwoju Przedsiębiorczości (PARP);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Instytucja Zarządzająca (IZ) - </w:t>
      </w:r>
      <w:r>
        <w:rPr>
          <w:rFonts w:ascii="Calibri" w:hAnsi="Calibri"/>
        </w:rPr>
        <w:t xml:space="preserve">instytucję, o której mowa w art. 2 pkt 11 ustawy wdrożeniowej. W przypadku poddziałania funkcję Instytucji Zarządzającej pełni minister właściwy do spraw rozwoju regionalnego;  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inwestycja początkowa </w:t>
      </w:r>
      <w:r>
        <w:rPr>
          <w:rFonts w:ascii="Calibri" w:hAnsi="Calibri"/>
        </w:rPr>
        <w:t>– oznacza inwestycję początkową w rozumieniu art. 2 pkt 49 lit. a rozporządzenia KE nr 651/2014, tj. w jednej z następujących form:</w:t>
      </w:r>
    </w:p>
    <w:p w:rsidR="001C5221" w:rsidRDefault="0078441F" w:rsidP="00D62FEE">
      <w:pPr>
        <w:numPr>
          <w:ilvl w:val="0"/>
          <w:numId w:val="14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</w:rPr>
        <w:t xml:space="preserve">inwestycja w rzeczowe aktywa trwałe lub wartości niematerialne i prawne </w:t>
      </w:r>
      <w:r>
        <w:rPr>
          <w:rFonts w:ascii="Calibri" w:hAnsi="Calibri"/>
          <w:b/>
          <w:bCs/>
        </w:rPr>
        <w:t>związane z założeniem nowego zakładu</w:t>
      </w:r>
      <w:r>
        <w:rPr>
          <w:rFonts w:ascii="Calibri" w:hAnsi="Calibri"/>
        </w:rPr>
        <w:t>,</w:t>
      </w:r>
    </w:p>
    <w:p w:rsidR="001C5221" w:rsidRDefault="0078441F" w:rsidP="00D62FEE">
      <w:pPr>
        <w:numPr>
          <w:ilvl w:val="0"/>
          <w:numId w:val="14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</w:rPr>
        <w:t xml:space="preserve">inwestycja w rzeczowe aktywa trwałe lub wartości niematerialne i prawne </w:t>
      </w:r>
      <w:r>
        <w:rPr>
          <w:rFonts w:ascii="Calibri" w:hAnsi="Calibri"/>
          <w:b/>
          <w:bCs/>
        </w:rPr>
        <w:t>związane z zwiększeniem zdolności produkcyjnej istniejącego zakładu</w:t>
      </w:r>
      <w:r>
        <w:rPr>
          <w:rFonts w:ascii="Calibri" w:hAnsi="Calibri"/>
        </w:rPr>
        <w:t>,</w:t>
      </w:r>
    </w:p>
    <w:p w:rsidR="001C5221" w:rsidRDefault="0078441F" w:rsidP="00D62FEE">
      <w:pPr>
        <w:numPr>
          <w:ilvl w:val="0"/>
          <w:numId w:val="14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</w:rPr>
        <w:t xml:space="preserve">inwestycja w rzeczowe aktywa trwałe lub wartości niematerialne i prawne </w:t>
      </w:r>
      <w:r>
        <w:rPr>
          <w:rFonts w:ascii="Calibri" w:hAnsi="Calibri"/>
          <w:b/>
          <w:bCs/>
        </w:rPr>
        <w:t>związane z dywersyfikacją produkcji zakładu poprzez wprowadzenie produktów uprzednio nieprodukowanych w zakładzie</w:t>
      </w:r>
      <w:r>
        <w:rPr>
          <w:rFonts w:ascii="Calibri" w:hAnsi="Calibri"/>
        </w:rPr>
        <w:t>,</w:t>
      </w:r>
    </w:p>
    <w:p w:rsidR="001C5221" w:rsidRDefault="0078441F" w:rsidP="00D62FEE">
      <w:pPr>
        <w:numPr>
          <w:ilvl w:val="0"/>
          <w:numId w:val="14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</w:rPr>
        <w:t xml:space="preserve">inwestycja w rzeczowe aktywa trwałe lub wartości niematerialne i prawne </w:t>
      </w:r>
      <w:r>
        <w:rPr>
          <w:rFonts w:ascii="Calibri" w:hAnsi="Calibri"/>
          <w:b/>
          <w:bCs/>
        </w:rPr>
        <w:t>związane z zasadniczą zmianą dotyczącą procesu produkcyjnego istniejącego zakładu</w:t>
      </w:r>
      <w:r>
        <w:rPr>
          <w:rFonts w:ascii="Calibri" w:hAnsi="Calibri"/>
        </w:rPr>
        <w:t>;</w:t>
      </w:r>
    </w:p>
    <w:p w:rsidR="001C5221" w:rsidRDefault="0078441F" w:rsidP="008150D0">
      <w:pPr>
        <w:numPr>
          <w:ilvl w:val="0"/>
          <w:numId w:val="15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>Komisja Oceny Projektów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(KOP)</w:t>
      </w:r>
      <w:r>
        <w:rPr>
          <w:rFonts w:ascii="Calibri" w:hAnsi="Calibri"/>
        </w:rPr>
        <w:t xml:space="preserve"> – komisję, o której mowa w art. 44 ustawy wdrożeniowej, powołaną do oceny spełnienia kryteriów wyboru projektów uczestniczących w konkursie;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konsorcjum (partnerstwo) – </w:t>
      </w:r>
      <w:r>
        <w:rPr>
          <w:rFonts w:ascii="Calibri" w:hAnsi="Calibri"/>
        </w:rPr>
        <w:t>partnerstwo w rozumieniu art. 33 ust. 1 ustawy wdrożeniowej, w skład którego wchodzą co najmniej trzy MŚP (lider konsorcjum (partner wiodący) oraz co najmniej dwóch członków konsorcjum (partnerów));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makroregion Polski Wschodniej </w:t>
      </w:r>
      <w:r>
        <w:rPr>
          <w:rFonts w:ascii="Calibri" w:hAnsi="Calibri"/>
        </w:rPr>
        <w:t>– obszar obejmujący następujące województwa: lubelskie, podkarpackie, podlaskie, świętokrzyskie i warmińsko–mazurskie;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mikroprzedsiębiorca, mały lub średni przedsiębiorca (MŚP) </w:t>
      </w:r>
      <w:r>
        <w:rPr>
          <w:rFonts w:ascii="Calibri" w:hAnsi="Calibri"/>
        </w:rPr>
        <w:t>– odpowiednio mikroprzedsiębiorcę, małego lub średniego przedsiębiorcę spełniającego warunki określone w załączniku I do rozporządzenia KE nr 651/2014;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>Panel Ekspertów</w:t>
      </w:r>
      <w:r>
        <w:rPr>
          <w:rFonts w:ascii="Calibri" w:hAnsi="Calibri"/>
        </w:rPr>
        <w:t xml:space="preserve"> – co najmniej dwóch członków KOP, dokonujących wspólnej oceny projektu zgodnie z zasadami określonymi w regulaminie prac Komisji Oceny Projektów;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>poddziałanie</w:t>
      </w:r>
      <w:r>
        <w:rPr>
          <w:rFonts w:ascii="Calibri" w:hAnsi="Calibri"/>
        </w:rPr>
        <w:t xml:space="preserve"> – poddziałanie 1.3.2 </w:t>
      </w:r>
      <w:r>
        <w:rPr>
          <w:rFonts w:ascii="Calibri" w:hAnsi="Calibri"/>
          <w:i/>
          <w:iCs/>
        </w:rPr>
        <w:t xml:space="preserve">Tworzenie sieciowych produktów przez MŚP, </w:t>
      </w:r>
      <w:r>
        <w:rPr>
          <w:rFonts w:ascii="Calibri" w:hAnsi="Calibri"/>
        </w:rPr>
        <w:t xml:space="preserve">w ramach I osi priorytetowej </w:t>
      </w:r>
      <w:r>
        <w:rPr>
          <w:rFonts w:ascii="Calibri" w:hAnsi="Calibri"/>
          <w:i/>
          <w:iCs/>
        </w:rPr>
        <w:t>Przedsiębiorcza Polska Wschodnia</w:t>
      </w:r>
      <w:r>
        <w:rPr>
          <w:rFonts w:ascii="Calibri" w:hAnsi="Calibri"/>
        </w:rPr>
        <w:t xml:space="preserve"> Programu Operacyjnego Polska Wschodnia 2014-2020;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podmiot współpracujący </w:t>
      </w:r>
      <w:r>
        <w:rPr>
          <w:rFonts w:ascii="Calibri" w:hAnsi="Calibri"/>
        </w:rPr>
        <w:t>– podmiot wymieniony w załączniku do wniosku o dofinansowanie, który we współpracy z beneficjentem (MŚP realizującym projekt samodzielnie), tworzy produkt sieciowy;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Fonts w:ascii="Calibri" w:hAnsi="Calibri"/>
          <w:b/>
          <w:bCs/>
        </w:rPr>
        <w:t>portal</w:t>
      </w:r>
      <w:r>
        <w:rPr>
          <w:rFonts w:ascii="Calibri" w:hAnsi="Calibri"/>
        </w:rPr>
        <w:t xml:space="preserve"> – portal internetowy, o którym mowa w art. 2 pkt 16 ustawy wdrożeniowej, dostępny pod adresem </w:t>
      </w:r>
      <w:hyperlink r:id="rId8" w:history="1">
        <w:r>
          <w:rPr>
            <w:rStyle w:val="Hyperlink0"/>
            <w:rFonts w:ascii="Calibri" w:hAnsi="Calibri"/>
          </w:rPr>
          <w:t>http://www.funduszeeuropejskie.gov.pl</w:t>
        </w:r>
      </w:hyperlink>
      <w:r>
        <w:rPr>
          <w:rStyle w:val="Brak"/>
          <w:rFonts w:ascii="Calibri" w:hAnsi="Calibri"/>
        </w:rPr>
        <w:t>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Style w:val="Brak"/>
          <w:rFonts w:ascii="Calibri" w:hAnsi="Calibri"/>
          <w:b/>
          <w:bCs/>
        </w:rPr>
        <w:t>projekt</w:t>
      </w:r>
      <w:r>
        <w:rPr>
          <w:rStyle w:val="Brak"/>
          <w:rFonts w:ascii="Calibri" w:hAnsi="Calibri"/>
        </w:rPr>
        <w:t xml:space="preserve"> – przedsięwzięcie, o którym mowa w art. 2 pkt 18 ustawy wdrożeniowej;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Style w:val="Brak"/>
          <w:rFonts w:ascii="Calibri" w:hAnsi="Calibri"/>
          <w:b/>
          <w:bCs/>
        </w:rPr>
        <w:t xml:space="preserve">produkt sieciowy </w:t>
      </w:r>
      <w:r>
        <w:rPr>
          <w:rStyle w:val="Brak"/>
          <w:rFonts w:ascii="Calibri" w:hAnsi="Calibri"/>
        </w:rPr>
        <w:t>– gotową do sprzedaży spakietyzowaną ofertę opartą o rozproszoną strukturę podmiotów, funkcjonującą jako jedna spójna koncepcja, posiadająca wspólny wyróżnik (markę) produktu;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  <w:b/>
          <w:bCs/>
        </w:rPr>
      </w:pPr>
      <w:r>
        <w:rPr>
          <w:rStyle w:val="Brak"/>
          <w:rFonts w:ascii="Calibri" w:hAnsi="Calibri"/>
          <w:b/>
          <w:bCs/>
        </w:rPr>
        <w:t xml:space="preserve">runda konkursu </w:t>
      </w:r>
      <w:r>
        <w:rPr>
          <w:rStyle w:val="Brak"/>
          <w:rFonts w:ascii="Calibri" w:hAnsi="Calibri"/>
        </w:rPr>
        <w:t>– rundę, o której mowa w art. 39 ust. 3 ustawy wdrożeniowej;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Style w:val="Brak"/>
          <w:rFonts w:ascii="Calibri" w:hAnsi="Calibri"/>
          <w:b/>
          <w:bCs/>
        </w:rPr>
        <w:t xml:space="preserve">strona poddziałania </w:t>
      </w:r>
      <w:r>
        <w:rPr>
          <w:rStyle w:val="Brak"/>
          <w:rFonts w:ascii="Calibri" w:hAnsi="Calibri"/>
        </w:rPr>
        <w:t xml:space="preserve">– podstronę internetową PARP działającą pod adresem </w:t>
      </w:r>
      <w:hyperlink r:id="rId9" w:history="1">
        <w:r>
          <w:rPr>
            <w:rStyle w:val="Hyperlink0"/>
            <w:rFonts w:ascii="Calibri" w:hAnsi="Calibri"/>
          </w:rPr>
          <w:t>http://popw.parp.gov.pl/tworzenie-sieciowych-produktow-przez-msp/poddzialanie-1-3-2-tworzenie-sieciowych-produktow-przez-msp</w:t>
        </w:r>
      </w:hyperlink>
      <w:r>
        <w:rPr>
          <w:rStyle w:val="Brak"/>
          <w:rFonts w:ascii="Calibri" w:hAnsi="Calibri"/>
        </w:rPr>
        <w:t xml:space="preserve"> zawierającą informacje pomocnicze w zakresie procedury konkursowej;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Style w:val="Brak"/>
          <w:rFonts w:ascii="Calibri" w:hAnsi="Calibri"/>
          <w:b/>
          <w:bCs/>
        </w:rPr>
        <w:t>umowa o partnerstwie (umowa konsorcjum)</w:t>
      </w:r>
      <w:r>
        <w:rPr>
          <w:rStyle w:val="Brak"/>
          <w:rFonts w:ascii="Calibri" w:hAnsi="Calibri"/>
        </w:rPr>
        <w:t xml:space="preserve"> – umowa, o której mowa w art. 33 ustawy wdrożeniowej, której minimalny zakres został określony w załączniku nr 7 do regulaminu;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Style w:val="Brak"/>
          <w:rFonts w:ascii="Calibri" w:hAnsi="Calibri"/>
          <w:b/>
          <w:bCs/>
        </w:rPr>
        <w:t xml:space="preserve">wniosek o dofinansowanie </w:t>
      </w:r>
      <w:r>
        <w:rPr>
          <w:rStyle w:val="Brak"/>
          <w:rFonts w:ascii="Calibri" w:hAnsi="Calibri"/>
        </w:rPr>
        <w:t>– dokument, w którym zawarte są informacje o wnioskodawcy oraz członkach konsorcjum (o ile występują) oraz opis projektu lub przedstawione w innej formie informacje na temat projektu. Wzór wniosku o dofinansowanie stanowi załącznik nr 2 do regulaminu;</w:t>
      </w:r>
    </w:p>
    <w:p w:rsidR="001C5221" w:rsidRDefault="0078441F" w:rsidP="00D62FEE">
      <w:pPr>
        <w:numPr>
          <w:ilvl w:val="0"/>
          <w:numId w:val="12"/>
        </w:numPr>
        <w:spacing w:after="120" w:line="276" w:lineRule="auto"/>
        <w:ind w:hanging="436"/>
        <w:rPr>
          <w:rFonts w:ascii="Calibri" w:hAnsi="Calibri"/>
        </w:rPr>
      </w:pPr>
      <w:r>
        <w:rPr>
          <w:rStyle w:val="Brak"/>
          <w:rFonts w:ascii="Calibri" w:hAnsi="Calibri"/>
          <w:b/>
          <w:bCs/>
        </w:rPr>
        <w:t xml:space="preserve">wnioskodawca </w:t>
      </w:r>
      <w:r>
        <w:rPr>
          <w:rStyle w:val="Brak"/>
          <w:rFonts w:ascii="Calibri" w:hAnsi="Calibri"/>
        </w:rPr>
        <w:t>- podmiot, o którym mowa w art. 2 pkt 28 ustawy wdrożeniowej; w przypadku projektu realizowanego w ramach konsorcjum wnioskodawcą jest lider konsorcjum (partner wiodący).</w:t>
      </w:r>
    </w:p>
    <w:p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§3. Postanowienia ogólne</w:t>
      </w:r>
    </w:p>
    <w:p w:rsidR="001C5221" w:rsidRDefault="0078441F">
      <w:pPr>
        <w:numPr>
          <w:ilvl w:val="0"/>
          <w:numId w:val="1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Celem konkursu jest wybór do dofinansowania projektów, które w największym stopniu przyczynią się do osiągnięcia celów POPW oraz celów poddziałania określonych w SZOOP. Do celów tych, należy w szczególności stworzenie zachęty dla MŚP do oparcia ich rozwoju o wykorzystanie istniejącego potencjału i walorów makroregionu jako podstawy działalności gospodarczej. Wspierane są innowacyjne sieciowe produkty w obszarach wpisujących się w zakres regionalnych inteligentnych specjalizacji (RIS) wspólnych dla co najmniej dwóch województw Polski Wschodniej o ponadregionalnym oddziaływaniu.</w:t>
      </w:r>
    </w:p>
    <w:p w:rsidR="001C5221" w:rsidRDefault="0078441F">
      <w:pPr>
        <w:numPr>
          <w:ilvl w:val="0"/>
          <w:numId w:val="1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Wybór projektów do dofinansowania następuje w trybie konkursowym, o którym mowa w art. 38 ust. 1 pkt 1 ustawy wdrożeniowej.</w:t>
      </w:r>
    </w:p>
    <w:p w:rsidR="001C5221" w:rsidRDefault="0078441F" w:rsidP="0040578A">
      <w:pPr>
        <w:numPr>
          <w:ilvl w:val="0"/>
          <w:numId w:val="19"/>
        </w:numPr>
        <w:spacing w:after="120" w:line="276" w:lineRule="auto"/>
        <w:ind w:hanging="426"/>
        <w:rPr>
          <w:rFonts w:ascii="Calibri" w:hAnsi="Calibri"/>
        </w:rPr>
      </w:pPr>
      <w:bookmarkStart w:id="0" w:name="_GoBack"/>
      <w:bookmarkEnd w:id="0"/>
      <w:r>
        <w:rPr>
          <w:rStyle w:val="Brak"/>
          <w:rFonts w:ascii="Calibri" w:hAnsi="Calibri"/>
        </w:rPr>
        <w:t>Konkurs jest podzielony na 4 rundy. Wnioski o dofinansowanie mogą być składane w następujących terminach:</w:t>
      </w:r>
    </w:p>
    <w:p w:rsidR="001C5221" w:rsidRDefault="0078441F">
      <w:pPr>
        <w:pStyle w:val="Akapitzlist"/>
        <w:numPr>
          <w:ilvl w:val="0"/>
          <w:numId w:val="2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dla rundy I – nabór wniosków o dofinansowanie w terminie od </w:t>
      </w:r>
      <w:r>
        <w:rPr>
          <w:rStyle w:val="Brak"/>
          <w:rFonts w:ascii="Calibri" w:hAnsi="Calibri"/>
          <w:b/>
          <w:bCs/>
        </w:rPr>
        <w:t>28 lutego 2019 r.</w:t>
      </w:r>
      <w:r>
        <w:rPr>
          <w:rStyle w:val="Brak"/>
          <w:rFonts w:ascii="Calibri" w:hAnsi="Calibri"/>
        </w:rPr>
        <w:t xml:space="preserve"> do </w:t>
      </w:r>
      <w:r>
        <w:rPr>
          <w:rStyle w:val="Brak"/>
          <w:rFonts w:ascii="Calibri" w:hAnsi="Calibri"/>
          <w:b/>
          <w:bCs/>
        </w:rPr>
        <w:t>30 kwietnia 2019 r.</w:t>
      </w:r>
    </w:p>
    <w:p w:rsidR="001C5221" w:rsidRDefault="0078441F">
      <w:pPr>
        <w:pStyle w:val="Akapitzlist"/>
        <w:numPr>
          <w:ilvl w:val="0"/>
          <w:numId w:val="2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dla rundy II – nabór wniosków o dofinansowanie w terminie od </w:t>
      </w:r>
      <w:r>
        <w:rPr>
          <w:rStyle w:val="Brak"/>
          <w:rFonts w:ascii="Calibri" w:hAnsi="Calibri"/>
          <w:b/>
          <w:bCs/>
        </w:rPr>
        <w:t>1 maja 2019 r.</w:t>
      </w:r>
      <w:r>
        <w:rPr>
          <w:rStyle w:val="Brak"/>
          <w:rFonts w:ascii="Calibri" w:hAnsi="Calibri"/>
        </w:rPr>
        <w:t xml:space="preserve"> do </w:t>
      </w:r>
      <w:r>
        <w:rPr>
          <w:rStyle w:val="Brak"/>
          <w:rFonts w:ascii="Calibri" w:hAnsi="Calibri"/>
          <w:b/>
          <w:bCs/>
        </w:rPr>
        <w:t>30 czerwca 2019 r.</w:t>
      </w:r>
    </w:p>
    <w:p w:rsidR="001C5221" w:rsidRDefault="0078441F">
      <w:pPr>
        <w:pStyle w:val="Akapitzlist"/>
        <w:numPr>
          <w:ilvl w:val="0"/>
          <w:numId w:val="2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dla rundy III – nabór wniosków o dofinansowanie w terminie od </w:t>
      </w:r>
      <w:r>
        <w:rPr>
          <w:rStyle w:val="Brak"/>
          <w:rFonts w:ascii="Calibri" w:hAnsi="Calibri"/>
          <w:b/>
          <w:bCs/>
        </w:rPr>
        <w:t>1 lipca 2019 r.</w:t>
      </w:r>
      <w:r>
        <w:rPr>
          <w:rStyle w:val="Brak"/>
          <w:rFonts w:ascii="Calibri" w:hAnsi="Calibri"/>
        </w:rPr>
        <w:t xml:space="preserve"> do </w:t>
      </w:r>
      <w:r>
        <w:rPr>
          <w:rStyle w:val="Brak"/>
          <w:rFonts w:ascii="Calibri" w:hAnsi="Calibri"/>
          <w:b/>
          <w:bCs/>
        </w:rPr>
        <w:t>29 sierpnia 2019 r.</w:t>
      </w:r>
      <w:r>
        <w:rPr>
          <w:rStyle w:val="Brak"/>
          <w:rFonts w:ascii="Calibri" w:hAnsi="Calibri"/>
        </w:rPr>
        <w:t xml:space="preserve"> </w:t>
      </w:r>
    </w:p>
    <w:p w:rsidR="001C5221" w:rsidRDefault="0078441F">
      <w:pPr>
        <w:pStyle w:val="Akapitzlist"/>
        <w:numPr>
          <w:ilvl w:val="0"/>
          <w:numId w:val="2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dla rundy IV – nabór wniosków o dofinansowanie w terminie od </w:t>
      </w:r>
      <w:r>
        <w:rPr>
          <w:rStyle w:val="Brak"/>
          <w:rFonts w:ascii="Calibri" w:hAnsi="Calibri"/>
          <w:b/>
          <w:bCs/>
        </w:rPr>
        <w:t>30 sierpnia 2019 r.</w:t>
      </w:r>
      <w:r>
        <w:rPr>
          <w:rStyle w:val="Brak"/>
          <w:rFonts w:ascii="Calibri" w:hAnsi="Calibri"/>
        </w:rPr>
        <w:t xml:space="preserve"> do </w:t>
      </w:r>
      <w:r>
        <w:rPr>
          <w:rStyle w:val="Brak"/>
          <w:rFonts w:ascii="Calibri" w:hAnsi="Calibri"/>
          <w:b/>
          <w:bCs/>
        </w:rPr>
        <w:t>15 stycznia 2020 r.</w:t>
      </w:r>
      <w:r>
        <w:rPr>
          <w:rStyle w:val="Brak"/>
          <w:rFonts w:ascii="Calibri" w:hAnsi="Calibri"/>
        </w:rPr>
        <w:t xml:space="preserve"> (w ostatnim dniu naboru do godz. 16:00:00).</w:t>
      </w:r>
    </w:p>
    <w:p w:rsidR="001C5221" w:rsidRDefault="0078441F">
      <w:pPr>
        <w:numPr>
          <w:ilvl w:val="0"/>
          <w:numId w:val="2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Kwota środków przeznaczonych na dofinansowanie projektów w niniejszym konkursie wynosi </w:t>
      </w:r>
      <w:r>
        <w:rPr>
          <w:rStyle w:val="Brak"/>
          <w:rFonts w:ascii="Calibri" w:hAnsi="Calibri"/>
          <w:b/>
          <w:bCs/>
        </w:rPr>
        <w:t>420 000 000 zł</w:t>
      </w:r>
      <w:r>
        <w:rPr>
          <w:rStyle w:val="Brak"/>
          <w:rFonts w:ascii="Calibri" w:hAnsi="Calibri"/>
        </w:rPr>
        <w:t xml:space="preserve"> (słownie: czterysta dwadzieścia milionów złotych), w tym 100 000 000 zł  (słownie: sto milionów złotych) na projekty zlokalizowane w regionach Mazur i Bieszczad (zgodnie z listą gmin stanowiącą załącznik nr 9 do regulaminu).</w:t>
      </w:r>
    </w:p>
    <w:p w:rsidR="001C5221" w:rsidRDefault="0078441F">
      <w:pPr>
        <w:numPr>
          <w:ilvl w:val="0"/>
          <w:numId w:val="1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Jeżeli kwota dofinansowania złożonych w ramach naboru wniosków o dofinansowanie przekroczy </w:t>
      </w:r>
      <w:r>
        <w:rPr>
          <w:rStyle w:val="Brak"/>
          <w:rFonts w:ascii="Calibri" w:hAnsi="Calibri"/>
          <w:b/>
          <w:bCs/>
        </w:rPr>
        <w:t xml:space="preserve">300% </w:t>
      </w:r>
      <w:r>
        <w:rPr>
          <w:rStyle w:val="Brak"/>
          <w:rFonts w:ascii="Calibri" w:hAnsi="Calibri"/>
        </w:rPr>
        <w:t>kwoty przeznaczonej na dofinansowanie projektów w konkursie, za zgodą IZ, termin składania wniosków o dofinansowanie może ulec skróceniu. O skróceniu terminu naboru PARP poinformuje zgodnie z § 15 ust. 2, nie później niż na 5 dni roboczych przed planowanym terminem zakończenia naboru.</w:t>
      </w:r>
    </w:p>
    <w:p w:rsidR="001C5221" w:rsidRDefault="0078441F">
      <w:pPr>
        <w:numPr>
          <w:ilvl w:val="0"/>
          <w:numId w:val="1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Kwota środków przeznaczona na dofinansowanie może ulec zwiększeniu, o czym PARP poinformuje zgodnie z § 15 ust. 2.</w:t>
      </w:r>
    </w:p>
    <w:p w:rsidR="001C5221" w:rsidRDefault="0078441F">
      <w:pPr>
        <w:numPr>
          <w:ilvl w:val="0"/>
          <w:numId w:val="1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przypadku, gdy alokacja na projekty realizowane w regionach Bieszczad i Mazur nie zostanie wyczerpana, pozostała kwota będzie mogła być przesunięta do puli ogólnej konkursu.</w:t>
      </w:r>
    </w:p>
    <w:p w:rsidR="001C5221" w:rsidRDefault="0078441F">
      <w:pPr>
        <w:numPr>
          <w:ilvl w:val="0"/>
          <w:numId w:val="1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przypadku, gdy alokacja na projekty realizowane poza regionami Bieszczad i Mazur nie zostanie wyczerpana, pozostała kwota będzie mogła być przesunięta do puli projektów realizowanych w regionach Bieszczad i Mazur.</w:t>
      </w:r>
    </w:p>
    <w:p w:rsidR="001C5221" w:rsidRPr="00781948" w:rsidRDefault="0078441F">
      <w:pPr>
        <w:numPr>
          <w:ilvl w:val="0"/>
          <w:numId w:val="1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Ilekroć w regulaminie mowa jest o adresie poczty elektronicznej wnioskodawcy, oznacza to adres poczty elektronicznej służący do korespondencji wskazany w części III</w:t>
      </w:r>
      <w:r>
        <w:rPr>
          <w:rStyle w:val="Brak"/>
          <w:rFonts w:ascii="Calibri" w:hAnsi="Calibri"/>
          <w:i/>
          <w:iCs/>
        </w:rPr>
        <w:t xml:space="preserve"> </w:t>
      </w:r>
      <w:r w:rsidRPr="00781948">
        <w:rPr>
          <w:rStyle w:val="Brak"/>
          <w:rFonts w:ascii="Calibri" w:hAnsi="Calibri"/>
          <w:iCs/>
        </w:rPr>
        <w:t>Wnioskodawca (Lider Konsorcjum) – adres korespondencyjny</w:t>
      </w:r>
      <w:r w:rsidRPr="00781948">
        <w:rPr>
          <w:rStyle w:val="Brak"/>
          <w:rFonts w:ascii="Calibri" w:hAnsi="Calibri"/>
        </w:rPr>
        <w:t xml:space="preserve"> wniosku o dofinansowanie.</w:t>
      </w:r>
    </w:p>
    <w:p w:rsidR="001C5221" w:rsidRDefault="0078441F">
      <w:pPr>
        <w:numPr>
          <w:ilvl w:val="0"/>
          <w:numId w:val="1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rozpoczęcia realizacji projektu przed dniem wejścia w życie umowy o dofinansowanie projektu wnioskodawca oraz członkowie konsorcjum (o ile występują) realizują projekt na własne ryzyko.</w:t>
      </w:r>
    </w:p>
    <w:p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 xml:space="preserve">§4. Warunki uczestnictwa w konkursie </w:t>
      </w:r>
    </w:p>
    <w:p w:rsidR="001C5221" w:rsidRDefault="0078441F">
      <w:pPr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Wniosek o dofinansowanie uznaje się za złożony, jeśli spełnia następujące warunki:</w:t>
      </w:r>
    </w:p>
    <w:p w:rsidR="001C5221" w:rsidRDefault="0078441F">
      <w:pPr>
        <w:pStyle w:val="Akapitzlist"/>
        <w:numPr>
          <w:ilvl w:val="0"/>
          <w:numId w:val="2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został złożony w terminie, o którym mowa w § 3 ust. 3;</w:t>
      </w:r>
    </w:p>
    <w:p w:rsidR="001C5221" w:rsidRDefault="0078441F">
      <w:pPr>
        <w:pStyle w:val="Akapitzlist"/>
        <w:numPr>
          <w:ilvl w:val="0"/>
          <w:numId w:val="2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został złożony w konkursie nr 5 rok 2019 w ramach poddziałania;</w:t>
      </w:r>
    </w:p>
    <w:p w:rsidR="001C5221" w:rsidRDefault="0078441F">
      <w:pPr>
        <w:pStyle w:val="Akapitzlist"/>
        <w:numPr>
          <w:ilvl w:val="0"/>
          <w:numId w:val="2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został złożony zgodnie z zasadami określonymi w § 6.</w:t>
      </w:r>
    </w:p>
    <w:p w:rsidR="001C5221" w:rsidRDefault="0078441F" w:rsidP="00781948">
      <w:pPr>
        <w:numPr>
          <w:ilvl w:val="0"/>
          <w:numId w:val="27"/>
        </w:numPr>
        <w:spacing w:after="120" w:line="276" w:lineRule="auto"/>
        <w:ind w:left="357" w:hanging="357"/>
        <w:rPr>
          <w:rFonts w:ascii="Calibri" w:hAnsi="Calibri"/>
        </w:rPr>
      </w:pPr>
      <w:r>
        <w:rPr>
          <w:rStyle w:val="Brak"/>
          <w:rFonts w:ascii="Calibri" w:hAnsi="Calibri"/>
        </w:rPr>
        <w:t>Dofinansowaniu będą podlegały projekty dotyczące inwestycji początkowej i prowadzące do utworzenia i rozwoju innowacyjnych produktów sieciowych w obszarach wpisujących się w zakres regionalnych inteligentnych specjalizacji wspólnych, dla co najmniej dwóch województw Polski Wschodniej (według załącznika nr 6 do regulaminu) i które realizowane będą na terytorium makroregionu Polski Wschodniej.</w:t>
      </w:r>
    </w:p>
    <w:p w:rsidR="001C5221" w:rsidRDefault="0078441F">
      <w:pPr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O dofinansowanie w ramach poddziałania mogą ubiegać się MŚP albo konsorcja MŚP, prowadzące działalność gospodarczą na terytorium Rzeczypospolitej Polskiej potwierdzoną wpisem do odpowiedniego rejestru. </w:t>
      </w:r>
    </w:p>
    <w:p w:rsidR="001C5221" w:rsidRDefault="0078441F">
      <w:pPr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Jeśli wnioskodawca jest podmiotem, o którym mowa w art. 3 ust. 1 ustawy z dnia 29 stycznia 2004 r. - Prawo zamówień publicznych (Dz. U. z 2018 r. poz. 1986, z późn. zm.), dokonuje on wyboru członków konsorcjum (przed złożeniem wniosku o dofinansowanie) spośród podmiotów innych niż wymienione w art. 3 ust. 1 pkt 1-3a tej ustawy, z zachowaniem zasady przejrzystości i równego traktowania. Podmiot ten, dokonując wyboru, jest obowiązany w szczególności do:</w:t>
      </w:r>
    </w:p>
    <w:p w:rsidR="001C5221" w:rsidRDefault="0078441F" w:rsidP="00D62FEE">
      <w:pPr>
        <w:numPr>
          <w:ilvl w:val="0"/>
          <w:numId w:val="29"/>
        </w:numPr>
        <w:spacing w:after="120" w:line="276" w:lineRule="auto"/>
        <w:ind w:left="851" w:hanging="425"/>
        <w:rPr>
          <w:rFonts w:ascii="Calibri" w:hAnsi="Calibri"/>
        </w:rPr>
      </w:pPr>
      <w:r>
        <w:rPr>
          <w:rStyle w:val="Brak"/>
          <w:rFonts w:ascii="Calibri" w:hAnsi="Calibri"/>
        </w:rPr>
        <w:t>ogłoszenia otwartego naboru członków konsorcjum na swojej stronie internetowej wraz ze wskazaniem co najmniej 21-dniowego terminu na zgłaszanie się podmiotów;</w:t>
      </w:r>
    </w:p>
    <w:p w:rsidR="001C5221" w:rsidRDefault="0078441F" w:rsidP="00D62FEE">
      <w:pPr>
        <w:numPr>
          <w:ilvl w:val="0"/>
          <w:numId w:val="29"/>
        </w:numPr>
        <w:spacing w:after="120" w:line="276" w:lineRule="auto"/>
        <w:ind w:left="851" w:hanging="425"/>
        <w:rPr>
          <w:rFonts w:ascii="Calibri" w:hAnsi="Calibri"/>
        </w:rPr>
      </w:pPr>
      <w:r>
        <w:rPr>
          <w:rStyle w:val="Brak"/>
          <w:rFonts w:ascii="Calibri" w:hAnsi="Calibri"/>
        </w:rPr>
        <w:t>uwzględnienia przy wyborze członków konsorcjum: zgodności działania potencjalnego członka konsorcjum z celami konsorcjum, deklarowanego wkładu potencjalnego członka konsorcjum w realizację celu konsorcjum, doświadczenia w realizacji projektów o podobnym charakterze;</w:t>
      </w:r>
    </w:p>
    <w:p w:rsidR="001C5221" w:rsidRDefault="0078441F" w:rsidP="00D62FEE">
      <w:pPr>
        <w:numPr>
          <w:ilvl w:val="0"/>
          <w:numId w:val="29"/>
        </w:numPr>
        <w:spacing w:after="120" w:line="276" w:lineRule="auto"/>
        <w:ind w:left="851" w:hanging="425"/>
        <w:rPr>
          <w:rFonts w:ascii="Calibri" w:hAnsi="Calibri"/>
        </w:rPr>
      </w:pPr>
      <w:r>
        <w:rPr>
          <w:rStyle w:val="Brak"/>
          <w:rFonts w:ascii="Calibri" w:hAnsi="Calibri"/>
        </w:rPr>
        <w:t>podania do publicznej wiadomości na swojej stronie internetowej informacji o podmiotach wybranych do pełnienia funkcji członka konsorcjum.</w:t>
      </w:r>
    </w:p>
    <w:p w:rsidR="001C5221" w:rsidRDefault="0078441F">
      <w:pPr>
        <w:numPr>
          <w:ilvl w:val="0"/>
          <w:numId w:val="3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projektu realizowanego samodzielnie przez wnioskodawcę, prowadzi on działalność gospodarczą co najmniej rok przed dniem złożenia wniosku o dofinansowanie, wykazując przychody z działalności gospodarczej, w wysokości nie mniejszej niż 10% szacowanych wydatków kwalifikowalnych, przynajmniej w jednym zamkniętym roku obrotowym (trwającym minimum 12 miesięcy) w okresie 3 lat poprzedzających rok, w którym złożył wniosek o dofinansowanie w konkursie.</w:t>
      </w:r>
    </w:p>
    <w:p w:rsidR="001C5221" w:rsidRDefault="0078441F">
      <w:pPr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projektu realizowanego w ramach konsorcjum, minimum 70% (liczbowo - wynik liczony jest poprzez zaokrąglenie do pełnej liczby zgodnie z zasadami matematycznymi) członków konsorcjum (w tym wnioskodawca) prowadzi działalność gospodarczą co najmniej rok przed dniem złożenia wniosku o dofinansowanie, wykazując przychody z działalności gospodarczej, w wysokości nie mniejszej niż 10% szacowanych wydatków kwalifikowalnych przypadających na danego członka konsorcjum, przynajmniej w jednym zamkniętym roku obrotowym (trwającym minimum 12 miesięcy) w okresie 3 lat poprzedzających rok, w którym złożono wniosek o dofinansowanie w konkursie.</w:t>
      </w:r>
    </w:p>
    <w:p w:rsidR="001C5221" w:rsidRDefault="0078441F">
      <w:pPr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Dofinansowanie stanowi:</w:t>
      </w:r>
    </w:p>
    <w:p w:rsidR="001C5221" w:rsidRDefault="0078441F">
      <w:pPr>
        <w:numPr>
          <w:ilvl w:val="1"/>
          <w:numId w:val="3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pomoc publiczną udzielaną na zasadach określonych w rozporządzeniu KE nr 651/2014:</w:t>
      </w:r>
    </w:p>
    <w:p w:rsidR="001C5221" w:rsidRDefault="0078441F">
      <w:pPr>
        <w:numPr>
          <w:ilvl w:val="0"/>
          <w:numId w:val="34"/>
        </w:numPr>
        <w:spacing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regionalną pomoc inwestycyjną udzielaną zgodnie z przepisami rozdziału I, art. 13 i 14 rozdziału III oraz rozdziału IV rozporządzenia KE nr 651/2014;</w:t>
      </w:r>
    </w:p>
    <w:p w:rsidR="001C5221" w:rsidRDefault="0078441F">
      <w:pPr>
        <w:pStyle w:val="Akapitzlist"/>
        <w:numPr>
          <w:ilvl w:val="0"/>
          <w:numId w:val="3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pomoc na infrastrukturę sportową i wielofunkcyjną infrastrukturę rekreacyjną udzielaną na inwestycje w zakresie:</w:t>
      </w:r>
    </w:p>
    <w:p w:rsidR="001C5221" w:rsidRDefault="0078441F">
      <w:pPr>
        <w:pStyle w:val="Akapitzlist"/>
        <w:numPr>
          <w:ilvl w:val="2"/>
          <w:numId w:val="3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infrastruktury sportowej, jeżeli są spełnione warunki określone w art. 55 ust. 2 i 4-6 rozporządzenia KE nr 651/2014, lub</w:t>
      </w:r>
    </w:p>
    <w:p w:rsidR="001C5221" w:rsidRDefault="0078441F">
      <w:pPr>
        <w:pStyle w:val="Akapitzlist"/>
        <w:numPr>
          <w:ilvl w:val="2"/>
          <w:numId w:val="3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wielofunkcyjnej infrastruktury rekreacyjnej, o której mowa w art. 55 ust. 3 rozporządzenia KE nr 651/2014, jeżeli są spełnione warunki określone w art. 55 ust. 4 i 6 rozporządzenia nr 651/2014;</w:t>
      </w:r>
    </w:p>
    <w:p w:rsidR="001C5221" w:rsidRDefault="0078441F">
      <w:pPr>
        <w:pStyle w:val="Akapitzlist"/>
        <w:numPr>
          <w:ilvl w:val="0"/>
          <w:numId w:val="3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pomoc na usługi doradcze na rzecz MŚP, udzielaną zgodnie z przepisami rozdziału I, art. 18 rozdziału III oraz rozdziału IV rozporządzenia KE nr 651/2014;</w:t>
      </w:r>
    </w:p>
    <w:p w:rsidR="001C5221" w:rsidRDefault="0078441F">
      <w:pPr>
        <w:pStyle w:val="Akapitzlist"/>
        <w:numPr>
          <w:ilvl w:val="0"/>
          <w:numId w:val="3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pomoc szkoleniową udzielaną zgodnie z przepisami rozdziału I, art. 31 rozdziału III oraz rozdziału IV rozporządzenia KE nr 651/2014.</w:t>
      </w:r>
    </w:p>
    <w:p w:rsidR="001C5221" w:rsidRDefault="0078441F">
      <w:pPr>
        <w:numPr>
          <w:ilvl w:val="1"/>
          <w:numId w:val="3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pomoc </w:t>
      </w:r>
      <w:r>
        <w:rPr>
          <w:rStyle w:val="Brak"/>
          <w:rFonts w:ascii="Calibri" w:hAnsi="Calibri"/>
          <w:i/>
          <w:iCs/>
        </w:rPr>
        <w:t>de minimis</w:t>
      </w:r>
      <w:r>
        <w:rPr>
          <w:rStyle w:val="Brak"/>
          <w:rFonts w:ascii="Calibri" w:hAnsi="Calibri"/>
        </w:rPr>
        <w:t xml:space="preserve"> udzielaną na zasadach określonych w rozporządzeniu KE nr 1407/2013.</w:t>
      </w:r>
    </w:p>
    <w:p w:rsidR="001C5221" w:rsidRDefault="0078441F">
      <w:pPr>
        <w:numPr>
          <w:ilvl w:val="0"/>
          <w:numId w:val="3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Wnioskodawca, członkowie konsorcjum (o ile występują) oraz projekt powinni spełniać kryteria wyboru projektów obowiązujące dla poddziałania zatwierdzone przez Komitet Monitorujący POPW, które są zawarte w załączniku nr 1 do regulaminu. </w:t>
      </w:r>
    </w:p>
    <w:p w:rsidR="001C5221" w:rsidRDefault="0078441F">
      <w:pPr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odniesieniu do okresu realizacji projektu muszą zostać spełnione łącznie następujące warunki:</w:t>
      </w:r>
    </w:p>
    <w:p w:rsidR="001C5221" w:rsidRDefault="0078441F">
      <w:pPr>
        <w:numPr>
          <w:ilvl w:val="0"/>
          <w:numId w:val="3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realizacja projektu nie może rozpocząć się przed dniem lub w dniu, w którym złożono wniosek o dofinansowanie;</w:t>
      </w:r>
    </w:p>
    <w:p w:rsidR="001C5221" w:rsidRDefault="0078441F">
      <w:pPr>
        <w:numPr>
          <w:ilvl w:val="0"/>
          <w:numId w:val="3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rozpoczęcie realizacji projektu musi nastąpić najpóźniej w ciągu 3 miesięcy od daty wejścia w życie umowy o dofinansowanie projektu;</w:t>
      </w:r>
    </w:p>
    <w:p w:rsidR="001C5221" w:rsidRDefault="0078441F">
      <w:pPr>
        <w:numPr>
          <w:ilvl w:val="0"/>
          <w:numId w:val="3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okres realizacji projektu nie może być dłuższy niż 36 miesięcy, licząc od dnia rozpoczęcia realizacji projektu określonego w umowie o dofinansowanie projektu;</w:t>
      </w:r>
    </w:p>
    <w:p w:rsidR="001C5221" w:rsidRDefault="0078441F">
      <w:pPr>
        <w:numPr>
          <w:ilvl w:val="0"/>
          <w:numId w:val="3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okres realizacji projektu nie może wykraczać poza końcową datę okresu kwalifikowalności wydatków w ramach Programu Operacyjnego Polska Wschodnia 2014-2020, tj. 31 grudnia 2023 r.</w:t>
      </w:r>
    </w:p>
    <w:p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§5. Zasady finansowania projektów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Minimalna wartość kosztów kwalifikowalnych projektu wynosi 5 000 000 zł. 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Do kosztów kwalifikowalnych zalicza się: </w:t>
      </w:r>
    </w:p>
    <w:p w:rsidR="001C5221" w:rsidRDefault="0078441F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ramach regionalnej pomocy inwestycyjnej:</w:t>
      </w:r>
    </w:p>
    <w:p w:rsidR="001C5221" w:rsidRDefault="0078441F">
      <w:pPr>
        <w:numPr>
          <w:ilvl w:val="2"/>
          <w:numId w:val="4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  <w:color w:val="211D1E"/>
          <w:u w:color="211D1E"/>
        </w:rPr>
        <w:t xml:space="preserve">nabycie nieruchomości, w tym prawa użytkowania wieczystego, z wyłączeniem lokali mieszkalnych, nieprzekraczające 10% kosztów kwalifikowalnych, o których mowa w pkt 1; </w:t>
      </w:r>
    </w:p>
    <w:p w:rsidR="001C5221" w:rsidRDefault="0078441F">
      <w:pPr>
        <w:numPr>
          <w:ilvl w:val="2"/>
          <w:numId w:val="45"/>
        </w:numPr>
        <w:spacing w:after="120" w:line="276" w:lineRule="auto"/>
        <w:rPr>
          <w:rFonts w:ascii="Calibri" w:hAnsi="Calibri"/>
          <w:color w:val="211D1E"/>
        </w:rPr>
      </w:pPr>
      <w:r>
        <w:rPr>
          <w:rStyle w:val="Brak"/>
          <w:rFonts w:ascii="Calibri" w:hAnsi="Calibri"/>
          <w:color w:val="211D1E"/>
          <w:u w:color="211D1E"/>
        </w:rPr>
        <w:t>nabycie środków trwałych, innych niż określone w lit. a, w tym w szczególności: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niezbędnego wyposażenia obiektów będących przedmiotem realizowanego projektu zapewniającego pełną funkcjonalność tych obiektów,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infrastruktury towarzyszącej, m.in.: obiektów architektury ogrodowej, elementów użytkowych służących rekreacji i utrzymaniu porządku (np. kosze na śmieci, stojaki na rowery);</w:t>
      </w:r>
    </w:p>
    <w:p w:rsidR="001C5221" w:rsidRDefault="0078441F">
      <w:pPr>
        <w:numPr>
          <w:ilvl w:val="2"/>
          <w:numId w:val="48"/>
        </w:numPr>
        <w:spacing w:after="120" w:line="276" w:lineRule="auto"/>
        <w:rPr>
          <w:rFonts w:ascii="Calibri" w:hAnsi="Calibri"/>
          <w:color w:val="211D1E"/>
        </w:rPr>
      </w:pPr>
      <w:r>
        <w:rPr>
          <w:rStyle w:val="Brak"/>
          <w:rFonts w:ascii="Calibri" w:hAnsi="Calibri"/>
          <w:color w:val="211D1E"/>
          <w:u w:color="211D1E"/>
        </w:rPr>
        <w:t>nabycie robót i materiałów budowlanych, w tym w szczególności: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budowę lub przebudowę obiektów będących przedmiotem projektu,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budowę niezbędnych dróg wewnętrznych, ciągów komunikacyjnych, parkingów, ogrodzeń oraz zagospodarowanie terenów zielonych niezbędnych na terenie nowowybudowanej, rozbudowanej infrastruktury projektu,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budowę lub przebudowę podstawowej infrastruktury technicznej niezbędnej do realizacji projektu (przyłącza i sieci wodno-kanalizacyjne, gazowe, ciepłownicze, energetyczne, oświetleniowe, telekomunikacyjne); </w:t>
      </w:r>
    </w:p>
    <w:p w:rsidR="001C5221" w:rsidRDefault="0078441F">
      <w:pPr>
        <w:numPr>
          <w:ilvl w:val="2"/>
          <w:numId w:val="49"/>
        </w:numPr>
        <w:spacing w:after="120" w:line="276" w:lineRule="auto"/>
        <w:rPr>
          <w:rFonts w:ascii="Calibri" w:hAnsi="Calibri"/>
          <w:color w:val="211D1E"/>
        </w:rPr>
      </w:pPr>
      <w:r>
        <w:rPr>
          <w:rStyle w:val="Brak"/>
          <w:rFonts w:ascii="Calibri" w:hAnsi="Calibri"/>
          <w:color w:val="211D1E"/>
          <w:u w:color="211D1E"/>
        </w:rPr>
        <w:t>nabycie wartości niematerialnych i prawnych w formie patentów, licencji, know-how oraz innych praw własności intelektualnej, jeżeli spełniają łącznie następujące warunki: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będą wykorzystywane wyłącznie w przedsiębiorstwie przedsiębiorcy otrzymującego pomoc, 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będą podlegać amortyzacji zgodnie z przepisami o rachunkowości,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będą nabyte od osób trzecich niepowiązanych z przedsiębiorcą na warunkach rynkowych,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będą stanowić aktywa przedsiębiorcy otrzymującego pomoc i pozostaną związane z projektem oraz pozostaną w jego przedsiębiorstwie przez co najmniej 3 lata od dnia zakończenia realizacji projektu;</w:t>
      </w:r>
    </w:p>
    <w:p w:rsidR="001C5221" w:rsidRDefault="0078441F">
      <w:pPr>
        <w:numPr>
          <w:ilvl w:val="0"/>
          <w:numId w:val="5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ramach pomocy na infrastrukturę sportową i wielofunkcyjną infrastrukturę rekreacyjną:</w:t>
      </w:r>
    </w:p>
    <w:p w:rsidR="001C5221" w:rsidRDefault="0078441F">
      <w:pPr>
        <w:numPr>
          <w:ilvl w:val="2"/>
          <w:numId w:val="52"/>
        </w:numPr>
        <w:spacing w:after="120" w:line="276" w:lineRule="auto"/>
        <w:rPr>
          <w:rFonts w:ascii="Calibri" w:hAnsi="Calibri"/>
          <w:color w:val="211D1E"/>
        </w:rPr>
      </w:pPr>
      <w:r>
        <w:rPr>
          <w:rStyle w:val="Brak"/>
          <w:rFonts w:ascii="Calibri" w:hAnsi="Calibri"/>
          <w:color w:val="211D1E"/>
          <w:u w:color="211D1E"/>
        </w:rPr>
        <w:t>nabycie nieruchomości, w tym prawa użytkowania wieczystego, z wyłączeniem lokali mieszkalnych, nieprzekraczające 10% kosztów kwalifikowalnych, o których mowa w pkt 2;</w:t>
      </w:r>
    </w:p>
    <w:p w:rsidR="001C5221" w:rsidRDefault="0078441F">
      <w:pPr>
        <w:numPr>
          <w:ilvl w:val="2"/>
          <w:numId w:val="52"/>
        </w:numPr>
        <w:spacing w:after="120" w:line="276" w:lineRule="auto"/>
        <w:rPr>
          <w:rFonts w:ascii="Calibri" w:hAnsi="Calibri"/>
          <w:color w:val="211D1E"/>
        </w:rPr>
      </w:pPr>
      <w:r>
        <w:rPr>
          <w:rStyle w:val="Brak"/>
          <w:rFonts w:ascii="Calibri" w:hAnsi="Calibri"/>
          <w:color w:val="211D1E"/>
          <w:u w:color="211D1E"/>
        </w:rPr>
        <w:t>nabycie środków trwałych, innych niż w lit. a;</w:t>
      </w:r>
    </w:p>
    <w:p w:rsidR="001C5221" w:rsidRDefault="0078441F">
      <w:pPr>
        <w:numPr>
          <w:ilvl w:val="2"/>
          <w:numId w:val="52"/>
        </w:numPr>
        <w:spacing w:after="120" w:line="276" w:lineRule="auto"/>
        <w:rPr>
          <w:rFonts w:ascii="Calibri" w:hAnsi="Calibri"/>
          <w:color w:val="211D1E"/>
        </w:rPr>
      </w:pPr>
      <w:r>
        <w:rPr>
          <w:rStyle w:val="Brak"/>
          <w:rFonts w:ascii="Calibri" w:hAnsi="Calibri"/>
          <w:color w:val="211D1E"/>
          <w:u w:color="211D1E"/>
        </w:rPr>
        <w:t xml:space="preserve">nabycie robót i materiałów budowlanych; </w:t>
      </w:r>
    </w:p>
    <w:p w:rsidR="001C5221" w:rsidRDefault="0078441F">
      <w:pPr>
        <w:numPr>
          <w:ilvl w:val="2"/>
          <w:numId w:val="52"/>
        </w:numPr>
        <w:spacing w:after="120" w:line="276" w:lineRule="auto"/>
        <w:rPr>
          <w:rFonts w:ascii="Calibri" w:hAnsi="Calibri"/>
          <w:color w:val="211D1E"/>
        </w:rPr>
      </w:pPr>
      <w:r>
        <w:rPr>
          <w:rStyle w:val="Brak"/>
          <w:rFonts w:ascii="Calibri" w:hAnsi="Calibri"/>
          <w:color w:val="211D1E"/>
          <w:u w:color="211D1E"/>
        </w:rPr>
        <w:t>nabycie wartości niematerialnych i prawnych w formie patentów, licencji, know-how oraz innych praw własności intelektualnej, jeżeli spełniają łącznie następujące warunki: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będą wykorzystywane wyłącznie w przedsiębiorstwie przedsiębiorcy otrzymującego pomoc, 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będą podlegać amortyzacji zgodnie z przepisami o rachunkowości,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będą nabyte od osób trzecich niepowiązanych z przedsiębiorcą na warunkach rynkowych,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będą stanowić aktywa przedsiębiorcy otrzymującego pomoc i pozostaną związane z projektem oraz pozostaną w jego przedsiębiorstwie przez co najmniej 3 lata od dnia zakończenia realizacji projektu;</w:t>
      </w:r>
    </w:p>
    <w:p w:rsidR="001C5221" w:rsidRDefault="0078441F">
      <w:pPr>
        <w:numPr>
          <w:ilvl w:val="0"/>
          <w:numId w:val="5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koszty działań promocyjno-informacyjnych dotyczących produktu sieciowego, inne niż określone w załączniku do umowy o dofinansowanie projektu Obowiązki informacyjne beneficjenta;  </w:t>
      </w:r>
    </w:p>
    <w:p w:rsidR="001C5221" w:rsidRDefault="0078441F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opracowanie i wdrożenie jednolitych standardów funkcjonowania i promocji produktu, w tym zakup usług o charakterze szkoleniowo-warsztatowym dla podmiotów realizujących przedsięwzięcie w zakresie przestrzegania tych standardów, a także wprowadzenia produktu na rynek;</w:t>
      </w:r>
    </w:p>
    <w:p w:rsidR="001C5221" w:rsidRDefault="0078441F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koszty ustanowienia i utrzymania zabezpieczenia w formie, o której mowa w § 33 pkt 6 rozporządzenia, dla zaliczki wypłaconej na rzecz MŚP.</w:t>
      </w:r>
    </w:p>
    <w:p w:rsidR="001C5221" w:rsidRDefault="0078441F">
      <w:pPr>
        <w:pStyle w:val="Akapitzlist"/>
        <w:widowControl w:val="0"/>
        <w:numPr>
          <w:ilvl w:val="0"/>
          <w:numId w:val="5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Inwestycja początkowa musi odnosić się do wnioskodawcy i każdego członka konsorcjum (o ile występuje) ponoszącego wydatki inwestycyjne w ramach regionalnej pomocy inwestycyjnej lub pomocy na infrastrukturę sportową i wielofunkcyjną infrastrukturę rekreacyjną. Co najmniej jedna z realizowanych w ramach projektu inwestycji początkowych musi mieć formę opisaną w § 2 pkt 9 lit. a lub c.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 przypadku ubiegania się o pomoc na dywersyfikację istniejącego zakładu koszty kwalifikowalne muszą przekroczyć o co najmniej 200% wartość księgową ponownie wykorzystywanych aktywów, odnotowaną w roku obrotowym poprzedzającym rozpoczęcie prac. 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Koszty kwalifikowalne w projekcie planowane są z uwzględnieniem zasad:</w:t>
      </w:r>
    </w:p>
    <w:p w:rsidR="001C5221" w:rsidRDefault="0078441F">
      <w:pPr>
        <w:pStyle w:val="Akapitzlist"/>
        <w:widowControl w:val="0"/>
        <w:numPr>
          <w:ilvl w:val="0"/>
          <w:numId w:val="5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minimalny udział wydatków inwestycyjnych (rozliczanych na podstawie ust. 2 pkt 1 lit. a – c oraz ust. 2 pkt 2 lit. a – c) w wartości wszystkich kosztów kwalifikowalnych projektu musi wynieść </w:t>
      </w:r>
      <w:r>
        <w:rPr>
          <w:rStyle w:val="Brak"/>
          <w:rFonts w:ascii="Calibri" w:hAnsi="Calibri"/>
          <w:b/>
          <w:bCs/>
        </w:rPr>
        <w:t>80%</w:t>
      </w:r>
      <w:r>
        <w:rPr>
          <w:rStyle w:val="Brak"/>
          <w:rFonts w:ascii="Calibri" w:hAnsi="Calibri"/>
        </w:rPr>
        <w:t>;</w:t>
      </w:r>
    </w:p>
    <w:p w:rsidR="001C5221" w:rsidRDefault="0078441F">
      <w:pPr>
        <w:pStyle w:val="Akapitzlist"/>
        <w:widowControl w:val="0"/>
        <w:numPr>
          <w:ilvl w:val="0"/>
          <w:numId w:val="5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minimalny udział wydatków inwestycyjnych (rozliczanych na podstawie ust. 2 pkt 1 lit. a – c oraz ust. 2 pkt 2 lit. a – c) związanych z maksymalnie trzema głównymi atrakcjami/elementami pakietu/składowymi, będącymi przedmiotem dofinansowania w ramach projektu, musi wynieść </w:t>
      </w:r>
      <w:r>
        <w:rPr>
          <w:rStyle w:val="Brak"/>
          <w:rFonts w:ascii="Calibri" w:hAnsi="Calibri"/>
          <w:b/>
          <w:bCs/>
        </w:rPr>
        <w:t>50%</w:t>
      </w:r>
      <w:r>
        <w:rPr>
          <w:rStyle w:val="Brak"/>
          <w:rFonts w:ascii="Calibri" w:hAnsi="Calibri"/>
        </w:rPr>
        <w:t xml:space="preserve"> wszystkich kosztów kwalifikowalnych projektu;</w:t>
      </w:r>
    </w:p>
    <w:p w:rsidR="001C5221" w:rsidRDefault="0078441F">
      <w:pPr>
        <w:pStyle w:val="Akapitzlist"/>
        <w:widowControl w:val="0"/>
        <w:numPr>
          <w:ilvl w:val="0"/>
          <w:numId w:val="5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maksymalny udział wydatków inwestycyjnych (rozliczanych na podstawie ust. 2 pkt 1 lit. a–c) związanych z miejscami noclegowymi nie może przekroczyć </w:t>
      </w:r>
      <w:r>
        <w:rPr>
          <w:rStyle w:val="Brak"/>
          <w:rFonts w:ascii="Calibri" w:hAnsi="Calibri"/>
          <w:b/>
          <w:bCs/>
        </w:rPr>
        <w:t>35%</w:t>
      </w:r>
      <w:r>
        <w:rPr>
          <w:rStyle w:val="Brak"/>
          <w:rFonts w:ascii="Calibri" w:hAnsi="Calibri"/>
        </w:rPr>
        <w:t xml:space="preserve"> wszystkich kosztów kwalifikowalnych; wydatki związane z miejscami noclegowymi mogą być przedmiotem dofinansowania tylko w ramach regionalnej pomocy inwestycyjnej.</w:t>
      </w:r>
    </w:p>
    <w:p w:rsidR="001C5221" w:rsidRDefault="0078441F">
      <w:pPr>
        <w:pStyle w:val="Akapitzlist"/>
        <w:widowControl w:val="0"/>
        <w:numPr>
          <w:ilvl w:val="0"/>
          <w:numId w:val="5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Łączna wartość kosztów kwalifikowalnych związanych z </w:t>
      </w:r>
      <w:r>
        <w:rPr>
          <w:rStyle w:val="Brak"/>
          <w:rFonts w:ascii="Calibri" w:hAnsi="Calibri"/>
          <w:color w:val="211D1E"/>
          <w:u w:color="211D1E"/>
        </w:rPr>
        <w:t>nabyciem wartości niematerialnych i prawnych</w:t>
      </w:r>
      <w:r>
        <w:rPr>
          <w:rStyle w:val="Brak"/>
          <w:rFonts w:ascii="Calibri" w:hAnsi="Calibri"/>
        </w:rPr>
        <w:t>, o których mowa w ust. 2 pkt 1 lit. d oraz pkt 2 lit. d, nie może przekraczać 2% wszystkich wydatków kwalifikowalnych projektu.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Do kosztów kwalifikowalnych w ramach pomocy na usługi doradcze na rzecz MŚP zalicza się koszty usług doradczych świadczonych przez doradców zewnętrznych. 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Usługi doradcze w ramach pomocy na usługi doradcze na rzecz MŚP, nie mogą mieć charakteru ciągłego ani okresowego oraz nie mogą być związane z bieżącą działalnością operacyjną MŚP, w szczególności w zakresie doradztwa podatkowego, stałej obsługi prawnej lub reklamy.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Do kosztów kwalifikowalnych w ramach pomocy szkoleniowej zalicza się koszty:</w:t>
      </w:r>
    </w:p>
    <w:p w:rsidR="001C5221" w:rsidRDefault="0078441F">
      <w:pPr>
        <w:pStyle w:val="Akapitzlist"/>
        <w:widowControl w:val="0"/>
        <w:numPr>
          <w:ilvl w:val="4"/>
          <w:numId w:val="5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zatrudnienia wykładowców poniesione za godziny, podczas których wykładowcy uczestniczą w szkoleniu;</w:t>
      </w:r>
    </w:p>
    <w:p w:rsidR="001C5221" w:rsidRDefault="0078441F">
      <w:pPr>
        <w:pStyle w:val="Akapitzlist"/>
        <w:widowControl w:val="0"/>
        <w:numPr>
          <w:ilvl w:val="4"/>
          <w:numId w:val="5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operacyjne wykładowców i uczestników szkolenia bezpośrednio związane z danym szkoleniem, takie jak koszty podróży, zakwaterowania oraz materiałów bezpośrednio związanych z tematyką prowadzonego szkolenia.</w:t>
      </w:r>
    </w:p>
    <w:p w:rsidR="001C5221" w:rsidRDefault="0078441F">
      <w:pPr>
        <w:pStyle w:val="Akapitzlist"/>
        <w:widowControl w:val="0"/>
        <w:numPr>
          <w:ilvl w:val="0"/>
          <w:numId w:val="6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Pomoc szkoleniowa nie może być udzielana na szkolenia, których obowiązek przeprowadzenia wynika z przepisów prawa.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kosztów, o których mowa w:</w:t>
      </w:r>
    </w:p>
    <w:p w:rsidR="001C5221" w:rsidRDefault="0078441F">
      <w:pPr>
        <w:pStyle w:val="Akapitzlist"/>
        <w:widowControl w:val="0"/>
        <w:numPr>
          <w:ilvl w:val="0"/>
          <w:numId w:val="6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ust. 2 pkt 1 maksymalną intensywność pomocy określa się zgodnie z §3 i §5 rozporządzenia Rady Ministrów z dnia 30 czerwca 2014 r. w sprawie ustalenia mapy pomocy regionalnej na lata 2014-2020 (Dz. U. poz. 878); </w:t>
      </w:r>
    </w:p>
    <w:p w:rsidR="001C5221" w:rsidRDefault="0078441F">
      <w:pPr>
        <w:pStyle w:val="Akapitzlist"/>
        <w:widowControl w:val="0"/>
        <w:numPr>
          <w:ilvl w:val="0"/>
          <w:numId w:val="6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ust. 2 pkt 2 maksymalna intensywność pomocy w ramach wniosku o dofinansowanie projektu wynosi 80% łącznych kosztów kwalifikowalnych w ramach pomocy na infrastrukturę sportową i wielofunkcyjną infrastrukturę rekreacyjną; jednocześnie maksymalna wartość pomocy nie może przekroczyć równowartości 2 mln euro</w:t>
      </w:r>
      <w:r>
        <w:rPr>
          <w:rStyle w:val="Brak"/>
          <w:rFonts w:ascii="Calibri" w:eastAsia="Calibri" w:hAnsi="Calibri" w:cs="Calibri"/>
          <w:vertAlign w:val="superscript"/>
        </w:rPr>
        <w:footnoteReference w:id="2"/>
      </w:r>
      <w:r>
        <w:rPr>
          <w:rStyle w:val="Brak"/>
          <w:rFonts w:ascii="Calibri" w:hAnsi="Calibri"/>
        </w:rPr>
        <w:t xml:space="preserve">;    </w:t>
      </w:r>
    </w:p>
    <w:p w:rsidR="001C5221" w:rsidRDefault="0078441F">
      <w:pPr>
        <w:pStyle w:val="Akapitzlist"/>
        <w:widowControl w:val="0"/>
        <w:numPr>
          <w:ilvl w:val="0"/>
          <w:numId w:val="6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ust. 2 pkt 3, 4 i 5 maksymalna intensywność pomocy wynosi: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50% kosztów kwalifikowalnych w przypadku udzielenia pomocy na usługi doradcze na rzecz MŚP,  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50% kosztów kwalifikowalnych w przypadku pomocy szkoleniowej, którą zwiększa się o 10 punktów procentowych w przypadku pomocy na rzecz średniego przedsiębiorcy i 20 punktów procentowych w przypadku pomocy na rzecz mikroprzedsiębiorcy i małego przedsiębiorcy lub o 10 punktów procentowych w przypadku usług szkoleniowych dla pracowników znajdujących się w szczególnie niekorzystnej sytuacji, o których mowa w art. 2 pkt 4 rozporządzenia KE nr 651/2014, lub pracowników niepełnosprawnych, o których mowa w art. 2 pkt 3 rozporządzenia KE nr 651/2014, przy czym łącznie intensywność pomocy nie może przekroczyć 70% kosztów kwalifikowalnych, </w:t>
      </w:r>
    </w:p>
    <w:p w:rsidR="001C5221" w:rsidRDefault="0078441F">
      <w:pPr>
        <w:numPr>
          <w:ilvl w:val="3"/>
          <w:numId w:val="4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70% kosztów kwalifikowalnych w przypadku pomocy de minimis. </w:t>
      </w:r>
    </w:p>
    <w:p w:rsidR="001C5221" w:rsidRDefault="0078441F">
      <w:pPr>
        <w:pStyle w:val="Akapitzlist"/>
        <w:widowControl w:val="0"/>
        <w:numPr>
          <w:ilvl w:val="0"/>
          <w:numId w:val="6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Dofinansowane projekty muszą być skupione wokół nie więcej niż trzech głównych atrakcji/elementów pakietu/składowych, będących przedmiotem dofinansowania w ramach projektu, stanowiących podstawę do tworzenia produktu sieciowego. Do wydatków kwalifikowalnych dotyczących głównych atrakcji/elementów nie są zaliczane wydatki kwalifikowalne w części dotyczącej miejsc noclegowych.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Za infrastrukturę noclegową, uznaje się wydatki inwestycyjne dotyczące miejsc noclegowych - w tym zakup nieruchomości z przeznaczeniem na utworzenie miejsc noclegowych (np. pole kempingowe, kamperowe, namiotowe), budowa, rozbudowa, przebudowa obiektów obejmujących miejsca noclegowe, wyposażenie miejsc noclegowych oraz zakup środków trwałych (np. łodzi i kamperów), w których znajdują się miejsca noclegowe/miejsca do spania. Szczegółowy sposób wyliczenia kosztów dotyczących miejsc noclegowych został określony w Załączniku nr 3 Instrukcja wypełnienia wniosku o dofinansowanie projektu.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projektu realizowanego w ramach konsorcjum, wymagane jest, aby minimalny udział finansowy we wkładzie własnym w ramach kosztów kwalifikowanych projektu wynosił:</w:t>
      </w:r>
    </w:p>
    <w:p w:rsidR="001C5221" w:rsidRDefault="0078441F">
      <w:pPr>
        <w:pStyle w:val="Akapitzlist"/>
        <w:widowControl w:val="0"/>
        <w:numPr>
          <w:ilvl w:val="0"/>
          <w:numId w:val="6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30% - w przypadku wnioskodawcy;</w:t>
      </w:r>
    </w:p>
    <w:p w:rsidR="001C5221" w:rsidRDefault="0078441F">
      <w:pPr>
        <w:pStyle w:val="Akapitzlist"/>
        <w:widowControl w:val="0"/>
        <w:numPr>
          <w:ilvl w:val="0"/>
          <w:numId w:val="6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5% dla każdego z członków konsorcjum.</w:t>
      </w:r>
    </w:p>
    <w:p w:rsidR="001C5221" w:rsidRDefault="0078441F">
      <w:pPr>
        <w:pStyle w:val="Akapitzlist"/>
        <w:widowControl w:val="0"/>
        <w:numPr>
          <w:ilvl w:val="0"/>
          <w:numId w:val="6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Wnioskodawca oraz członkowie konsorcjum (o ile występują) muszą posiadać odpowiednie środki finansowe do sfinansowania swojej części wydatków w ramach projektu. Wnioskodawca oraz członkowie konsorcjum (o ile występują) muszą dysponować środkami finansowymi wystarczającymi na realizację projektu, na zapewnienie jego płynności finansowej, z uwzględnieniem dofinansowania. 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finansowania projektu kredytem bankowym możliwość pozyskania przez wnioskodawcę oraz członków konsorcjum (o ile występują) kredytu musi być uwiarygodniona promesą kredytową sporządzoną według wzoru stanowiącego załącznik nr 8 do regulaminu. Do każdej promesy kredytowej wnioskodawca załącza upoważnienie dla banku do przekazania informacji objętych tajemnicą bankową zgodne ze wzorem stanowiącym załącznik nr 10 do regulaminu.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Warunki uznania poniesionych kosztów za koszty kwalifikowalne zostały określone w szczególności w art. 6c ustawy o PARP, w § 8 rozporządzenia, w art. 44 ust. 3 ustawy z dnia 27 sierpnia 2009 r. o finansach publicznych oraz w wytycznych w zakresie kwalifikowalności.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  <w:b/>
          <w:bCs/>
        </w:rPr>
      </w:pPr>
      <w:r>
        <w:rPr>
          <w:rStyle w:val="Brak"/>
          <w:rFonts w:ascii="Calibri" w:hAnsi="Calibri"/>
          <w:b/>
          <w:bCs/>
        </w:rPr>
        <w:t>Podatek VAT nie jest wydatkiem kwalifikowalnym.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Za kwalifikowane nie są uznawane zaliczki (na określony cel) wypłacone przez beneficjenta lub członka konsorcjum (o ile występuje) na rzecz wykonawcy będącego stroną zawartej umowy o dostawę, usługę lub robotę budowlaną.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zamówień, do których nie stosuje się ustawy z dnia 29 stycznia 2004 r. - Prawo zamówień publicznych, w których postępowanie o udzielenie zamówienia wszczęto przed dniem zawarcia umowy o dofinansowanie projektu zastosowanie mają wymogi określone w rozdziale 6.5 wytycznych w zakresie kwalifikowalności, w tym w szczególności dotyczące rozeznania rynku i zasady konkurencyjności.</w:t>
      </w:r>
    </w:p>
    <w:p w:rsidR="001C5221" w:rsidRDefault="0078441F">
      <w:pPr>
        <w:pStyle w:val="Akapitzlist"/>
        <w:widowControl w:val="0"/>
        <w:numPr>
          <w:ilvl w:val="0"/>
          <w:numId w:val="4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 przypadku publikacji zamówień przeprowadzanych zgodnie z zasadą konkurencyjności, wnioskodawca lub członek konsorcjum (o ile występuje) publikuje zapytanie ofertowe na stronie internetowej </w:t>
      </w:r>
      <w:hyperlink r:id="rId10" w:history="1">
        <w:r>
          <w:rPr>
            <w:rStyle w:val="Hyperlink0"/>
            <w:rFonts w:ascii="Calibri" w:hAnsi="Calibri"/>
          </w:rPr>
          <w:t>https://bazakonkurencyjnosci.funduszeeuropejskie.gov.pl/</w:t>
        </w:r>
      </w:hyperlink>
      <w:r>
        <w:rPr>
          <w:rStyle w:val="Brak"/>
          <w:rFonts w:ascii="Calibri" w:hAnsi="Calibri"/>
        </w:rPr>
        <w:t>. Informację o zmianach zapytania ofertowego, treść pytań dotyczących zapytania ofertowego wraz z wyjaśnieniami zamawiającego oraz wyniki postępowania upublicznia się w taki sposób, w jaki zostało upublicznione zapytanie ofertowe.</w:t>
      </w:r>
    </w:p>
    <w:p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§6. Zasady składania i wycofywania wniosków o dofinansowanie</w:t>
      </w:r>
    </w:p>
    <w:p w:rsidR="001C5221" w:rsidRPr="00781948" w:rsidRDefault="0078441F">
      <w:pPr>
        <w:numPr>
          <w:ilvl w:val="0"/>
          <w:numId w:val="68"/>
        </w:numPr>
        <w:spacing w:after="120" w:line="276" w:lineRule="auto"/>
        <w:rPr>
          <w:rFonts w:ascii="Calibri" w:hAnsi="Calibri"/>
        </w:rPr>
      </w:pPr>
      <w:r w:rsidRPr="00781948">
        <w:rPr>
          <w:rStyle w:val="Brak"/>
          <w:rFonts w:ascii="Calibri" w:hAnsi="Calibri"/>
        </w:rPr>
        <w:t xml:space="preserve">Wniosek o dofinansowanie należy złożyć wyłącznie w wersji elektronicznej za pośrednictwem GW, z zastrzeżeniem ust. 10. Wniosek o dofinansowanie należy sporządzić zgodnie z </w:t>
      </w:r>
      <w:r w:rsidRPr="00781948">
        <w:rPr>
          <w:rStyle w:val="Brak"/>
          <w:rFonts w:ascii="Calibri" w:hAnsi="Calibri"/>
          <w:iCs/>
        </w:rPr>
        <w:t xml:space="preserve">Instrukcją wypełniania wniosku o dofinansowanie projektu </w:t>
      </w:r>
      <w:r w:rsidRPr="00781948">
        <w:rPr>
          <w:rStyle w:val="Brak"/>
          <w:rFonts w:ascii="Calibri" w:hAnsi="Calibri"/>
        </w:rPr>
        <w:t>stanowiącą</w:t>
      </w:r>
      <w:r w:rsidRPr="00781948">
        <w:rPr>
          <w:rStyle w:val="Brak"/>
          <w:rFonts w:ascii="Calibri" w:hAnsi="Calibri"/>
          <w:iCs/>
        </w:rPr>
        <w:t xml:space="preserve"> </w:t>
      </w:r>
      <w:r w:rsidRPr="00781948">
        <w:rPr>
          <w:rStyle w:val="Brak"/>
          <w:rFonts w:ascii="Calibri" w:hAnsi="Calibri"/>
        </w:rPr>
        <w:t xml:space="preserve">załącznik nr 3 do regulaminu. Wszelkie inne formy elektronicznej lub papierowej wizualizacji treści wniosku nie stanowią wniosku o dofinansowanie i nie będą podlegać ocenie. </w:t>
      </w:r>
    </w:p>
    <w:p w:rsidR="001C5221" w:rsidRDefault="0078441F">
      <w:pPr>
        <w:numPr>
          <w:ilvl w:val="0"/>
          <w:numId w:val="6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Wniosek o dofinansowanie powinien zostać sporządzony w języku polskim, zgodnie z art. 5 ustawy z dnia 7 października 1999 r. o języku polskim (Dz. U. z 2018 r. poz. 931, z późn. zm.), z wyjątkiem użycia obcojęzycznych nazw własnych lub pojedynczych wyrażeń w języku obcym. Dokumenty sporządzone w języku obcym powinny zostać przetłumaczone na język polski przez tłumacza przysięgłego.</w:t>
      </w:r>
    </w:p>
    <w:p w:rsidR="001C5221" w:rsidRDefault="0078441F">
      <w:pPr>
        <w:numPr>
          <w:ilvl w:val="0"/>
          <w:numId w:val="7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Złożenie wniosku o dofinansowanie w GW będzie możliwe w okresie naboru wniosków o dofinansowanie, o którym mowa w § 3 ust. 3.</w:t>
      </w:r>
    </w:p>
    <w:p w:rsidR="001C5221" w:rsidRDefault="0078441F">
      <w:pPr>
        <w:pStyle w:val="Akapitzlist"/>
        <w:numPr>
          <w:ilvl w:val="0"/>
          <w:numId w:val="6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Złożenie wniosku o dofinansowanie możliwe będzie wyłącznie przez wnioskodawcę, który w GW oświadczy, że:</w:t>
      </w:r>
    </w:p>
    <w:p w:rsidR="001C5221" w:rsidRDefault="0078441F">
      <w:pPr>
        <w:pStyle w:val="Akapitzlist"/>
        <w:numPr>
          <w:ilvl w:val="1"/>
          <w:numId w:val="7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zapoznał się z regulaminem konkursu i akceptuje jego zasady;</w:t>
      </w:r>
    </w:p>
    <w:p w:rsidR="001C5221" w:rsidRDefault="0078441F">
      <w:pPr>
        <w:pStyle w:val="Akapitzlist"/>
        <w:numPr>
          <w:ilvl w:val="1"/>
          <w:numId w:val="7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jest świadomy skutków niezachowania wskazanej w regulaminie konkursu formy komunikacji.</w:t>
      </w:r>
    </w:p>
    <w:p w:rsidR="001C5221" w:rsidRDefault="0078441F">
      <w:pPr>
        <w:numPr>
          <w:ilvl w:val="0"/>
          <w:numId w:val="7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Data i czas wygenerowane przez GW po naciśnięciu przycisku „Złóż” są datą i czasem </w:t>
      </w:r>
      <w:r>
        <w:rPr>
          <w:rStyle w:val="Brak"/>
          <w:rFonts w:ascii="Calibri" w:hAnsi="Calibri"/>
          <w:b/>
          <w:bCs/>
        </w:rPr>
        <w:t>złożenia wniosku o dofinansowanie</w:t>
      </w:r>
      <w:r>
        <w:rPr>
          <w:rStyle w:val="Brak"/>
          <w:rFonts w:ascii="Calibri" w:hAnsi="Calibri"/>
        </w:rPr>
        <w:t xml:space="preserve">, odnotowywanymi przez serwer PARP. </w:t>
      </w:r>
    </w:p>
    <w:p w:rsidR="001C5221" w:rsidRDefault="0078441F">
      <w:pPr>
        <w:pStyle w:val="Akapitzlist"/>
        <w:numPr>
          <w:ilvl w:val="0"/>
          <w:numId w:val="6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może złożyć tylko jeden wniosek o dofinansowanie w ramach konkursu. W przeciwnym przypadku PARP wzywa Wnioskodawcę do wycofania jednego z wniosków. Wnioskodawca powinien wycofać jeden z wniosków o dofinansowanie w terminie 7 dni od dnia następującego po dniu wysłania przez PARP informacji o wezwaniu. W przypadku braku wycofania jednego z wniosków o dofinansowanie, ocenie będzie podlegał wniosek złożony jako pierwszy. Pozostały wniosek zostanie pozostawiony bez rozpatrzenia i, w konsekwencji, nie zostanie dopuszczony do oceny spełnienia kryteriów wyboru projektów. Zasada ta nie obowiązuje, jeżeli wnioskodawca wycofał wniosek o dofinansowanie zgodnie z ust. 8 albo, gdy wnioski o dofinansowanie, złożone przez wnioskodawcę we wcześniejszych rundach konkursu zostały negatywnie ocenione, a procedura odwoławcza lub postępowanie sądowo-administracyjne, o których mowa w Rozdziale 15 ustawy wdrożeniowej, nie zostały wszczęte.</w:t>
      </w:r>
    </w:p>
    <w:p w:rsidR="001C5221" w:rsidRDefault="0078441F">
      <w:pPr>
        <w:numPr>
          <w:ilvl w:val="0"/>
          <w:numId w:val="6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nie może złożyć wniosku o dofinansowanie dla projektu będącego przedmiotem procedury odwoławczej lub postępowania sądowo-administracyjnego, o których mowa w rozdziale 15 ustawy wdrożeniowej. W przeciwnym przypadku wniosek o dofinansowanie zostanie pozostawiony bez rozpatrzenia i, w konsekwencji, nie zostanie dopuszczony do oceny spełnienia kryteriów wyboru projektów.</w:t>
      </w:r>
    </w:p>
    <w:p w:rsidR="001C5221" w:rsidRDefault="0078441F">
      <w:pPr>
        <w:numPr>
          <w:ilvl w:val="0"/>
          <w:numId w:val="6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ma możliwość wycofania wniosku o dofinansowanie. W takim przypadku wnioskodawca wycofuje wniosek w GW oraz załącza skan pisma o wycofaniu wniosku o dofinansowanie podpisanego zgodnie z zasadami reprezentowania wnioskodawcy. Datą wycofania wniosku jest data zarejestrowana przez GW.</w:t>
      </w:r>
    </w:p>
    <w:p w:rsidR="001C5221" w:rsidRDefault="0078441F">
      <w:pPr>
        <w:numPr>
          <w:ilvl w:val="0"/>
          <w:numId w:val="6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Wnioskodawca dołącza w GW wersje elektroniczne załączników, zgodnie z Instrukcją wypełniania wniosku o dofinansowanie projektu (wielkość pojedynczego załącznika nie powinna przekraczać 15 MB). </w:t>
      </w:r>
    </w:p>
    <w:p w:rsidR="001C5221" w:rsidRDefault="0078441F">
      <w:pPr>
        <w:numPr>
          <w:ilvl w:val="0"/>
          <w:numId w:val="69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zidentyfikowanych przez wnioskodawcę problemów z dołączaniem załączników w GW, wnioskodawca zgłasza problemy za pomocą formularza, o którym mowa w ust. 12 pkt 1. PARP, uwzględniając zgłoszenie, może wskazać jako uprawnioną formę złożenia załączników formę papierową lub formę elektroniczną na nośniku danych (np. CD, DVD). Informacja w tym zakresie jest kierowana do wnioskodawcy na adres poczty elektronicznej wskazany przez wnioskodawcę w zgłoszeniu.</w:t>
      </w:r>
    </w:p>
    <w:p w:rsidR="001C5221" w:rsidRDefault="0078441F">
      <w:pPr>
        <w:numPr>
          <w:ilvl w:val="0"/>
          <w:numId w:val="6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Złożenie załączników w sposób, o którym mowa w ust. 10, powinno nastąpić w terminie 2 dni roboczych od dnia złożenia wniosku o dofinansowanie w GW.</w:t>
      </w:r>
    </w:p>
    <w:p w:rsidR="001C5221" w:rsidRDefault="0078441F">
      <w:pPr>
        <w:numPr>
          <w:ilvl w:val="0"/>
          <w:numId w:val="7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stwierdzenia błędów związanych z funkcjonowaniem GW wnioskodawca:</w:t>
      </w:r>
    </w:p>
    <w:p w:rsidR="001C5221" w:rsidRPr="00921F48" w:rsidRDefault="0078441F" w:rsidP="00921F48">
      <w:pPr>
        <w:pStyle w:val="Akapitzlist"/>
        <w:widowControl w:val="0"/>
        <w:numPr>
          <w:ilvl w:val="0"/>
          <w:numId w:val="115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powinien dokonać zgłoszenia błędów za pomocą formularza dostępnego w GW, zaś w przypadku awarii tego formularza;</w:t>
      </w:r>
    </w:p>
    <w:p w:rsidR="001C5221" w:rsidRPr="00921F48" w:rsidRDefault="0078441F" w:rsidP="00921F48">
      <w:pPr>
        <w:pStyle w:val="Akapitzlist"/>
        <w:widowControl w:val="0"/>
        <w:numPr>
          <w:ilvl w:val="0"/>
          <w:numId w:val="115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jest zobowiązany skontaktować się z PARP za pośrednictwem formularza kontaktowego zamieszczonego na stronie poddziałania,</w:t>
      </w:r>
    </w:p>
    <w:p w:rsidR="001C5221" w:rsidRDefault="0078441F">
      <w:pPr>
        <w:spacing w:after="120" w:line="276" w:lineRule="auto"/>
        <w:ind w:left="425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pod rygorem pozostawienia zgłoszenia bez rozpatrzenia.</w:t>
      </w:r>
    </w:p>
    <w:p w:rsidR="001C5221" w:rsidRDefault="0078441F">
      <w:pPr>
        <w:numPr>
          <w:ilvl w:val="0"/>
          <w:numId w:val="7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PARP kieruje całość korespondencji dotyczącej przyjętego zgłoszenia błędu, w tym wynik rozpatrzenia zgłoszenia błędu, na adres poczty elektronicznej wskazany przez wnioskodawcę w zgłoszeniu błędu. Wnioskodawca jest zobowiązany do wskazania adresu poczty elektronicznej zapewniającego skuteczną komunikację.</w:t>
      </w:r>
    </w:p>
    <w:p w:rsidR="001C5221" w:rsidRDefault="0078441F">
      <w:pPr>
        <w:numPr>
          <w:ilvl w:val="0"/>
          <w:numId w:val="7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Pozytywne rozpatrzenie zgłoszenia, o którym mowa w ust. 12, możliwe jest jedynie w przypadku, gdy problemy związane z wadliwym funkcjonowaniem GW nie leżą po stronie wnioskodawcy.</w:t>
      </w:r>
    </w:p>
    <w:p w:rsidR="001C5221" w:rsidRDefault="0078441F">
      <w:pPr>
        <w:numPr>
          <w:ilvl w:val="0"/>
          <w:numId w:val="7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razie wystąpienia długotrwałych problemów technicznych uniemożliwiających składanie wniosków o dofinansowanie za pomocą GW, należy stosować się do komunikatów zamieszczanych na stronie internetowej PARP.</w:t>
      </w:r>
    </w:p>
    <w:p w:rsidR="001C5221" w:rsidRDefault="0078441F">
      <w:pPr>
        <w:numPr>
          <w:ilvl w:val="0"/>
          <w:numId w:val="7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Wnioski o dofinansowanie, które nie zostały złożone zgodnie z § 4 ust. 1, PARP przechowuje w swoim systemie informatycznym przez okres 12 miesięcy od dnia zakończenia naboru w danym konkursie. Po upływie ww. terminu wnioski zostaną trwale usunięte.</w:t>
      </w:r>
    </w:p>
    <w:p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§7. Warunki formalne i oczywiste omyłki – sposób ich uzupełniania lub poprawiania</w:t>
      </w:r>
    </w:p>
    <w:p w:rsidR="001C5221" w:rsidRDefault="0078441F" w:rsidP="00781948">
      <w:pPr>
        <w:numPr>
          <w:ilvl w:val="0"/>
          <w:numId w:val="7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ramach warunków formalnych ustalane jest czy:</w:t>
      </w:r>
    </w:p>
    <w:p w:rsidR="001C5221" w:rsidRPr="00921F48" w:rsidRDefault="0078441F" w:rsidP="00921F48">
      <w:pPr>
        <w:numPr>
          <w:ilvl w:val="1"/>
          <w:numId w:val="41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wszystkie pola wniosku o dofinansowanie wymagane Instrukcją wypełniania wniosku o dofinansowanie projektu zostały wypełnione;</w:t>
      </w:r>
    </w:p>
    <w:p w:rsidR="001C5221" w:rsidRPr="00921F48" w:rsidRDefault="0078441F" w:rsidP="00921F48">
      <w:pPr>
        <w:numPr>
          <w:ilvl w:val="1"/>
          <w:numId w:val="41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wniosek zawiera wszystkie wymagane załączniki, sporządzone na właściwym wzorze, kompletne i czytelne;</w:t>
      </w:r>
    </w:p>
    <w:p w:rsidR="001C5221" w:rsidRPr="00921F48" w:rsidRDefault="0078441F" w:rsidP="00921F48">
      <w:pPr>
        <w:numPr>
          <w:ilvl w:val="1"/>
          <w:numId w:val="41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informacje zawarte we wniosku o dofinansowanie są zgodne z dokumentem rejestrowym.</w:t>
      </w:r>
    </w:p>
    <w:p w:rsidR="001C5221" w:rsidRDefault="0078441F" w:rsidP="00781948">
      <w:pPr>
        <w:numPr>
          <w:ilvl w:val="0"/>
          <w:numId w:val="7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 zastrzeżeniem konieczności zachowania terminu rozstrzygnięcia rundy konkursu, o którym mowa w § 11 ust. 4, w przypadku stwierdzenia we wniosku o dofinansowanie:</w:t>
      </w:r>
    </w:p>
    <w:p w:rsidR="001C5221" w:rsidRDefault="0078441F" w:rsidP="00921F48">
      <w:pPr>
        <w:numPr>
          <w:ilvl w:val="0"/>
          <w:numId w:val="117"/>
        </w:numPr>
        <w:spacing w:after="120" w:line="276" w:lineRule="auto"/>
        <w:ind w:left="709" w:hanging="283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braków w zakresie warunków formalnych - PARP wzywa wnioskodawcę do ich uzupełnienia. W takim przypadku informację o wezwaniu do uzupełnienia w GW, PARP kieruje na adres poczty elektronicznej wnioskodawcy. Wnioskodawca powinien uzupełnić braki w zakresie warunków formalnych w terminie 7 dni od dnia następującego po dniu wysłania przez PARP informacji o wezwaniu; </w:t>
      </w:r>
    </w:p>
    <w:p w:rsidR="001C5221" w:rsidRDefault="0078441F" w:rsidP="00921F48">
      <w:pPr>
        <w:numPr>
          <w:ilvl w:val="0"/>
          <w:numId w:val="117"/>
        </w:numPr>
        <w:spacing w:after="120" w:line="276" w:lineRule="auto"/>
        <w:ind w:left="709" w:hanging="283"/>
        <w:rPr>
          <w:rFonts w:ascii="Calibri" w:hAnsi="Calibri"/>
        </w:rPr>
      </w:pPr>
      <w:r>
        <w:rPr>
          <w:rStyle w:val="Brak"/>
          <w:rFonts w:ascii="Calibri" w:hAnsi="Calibri"/>
        </w:rPr>
        <w:t>oczywistych omyłek - PARP może je poprawić bez konieczności wzywania wnioskodawcy do ich poprawienia (w takim przypadku PARP poprawia omyłkę z urzędu i informuje o tym wnioskodawcę na adres poczty elektronicznej wnioskodawcy) albo wezwać wnioskodawcę do ich poprawienia z zastosowaniem trybu, o którym mowa w pkt 1).</w:t>
      </w:r>
    </w:p>
    <w:p w:rsidR="001C5221" w:rsidRDefault="0078441F">
      <w:pPr>
        <w:numPr>
          <w:ilvl w:val="0"/>
          <w:numId w:val="7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PARP określa zakres niezbędnego uzupełnienia oraz wskazuje omyłki do poprawienia. Wnioskodawca jest zobowiązany do uzupełnienia lub poprawienia wniosku o dofinansowanie wyłącznie w zakresie wskazanym w wezwaniu, przy czym niedopuszczalne jest wprowadzenie zmian innych niż wskazane w wezwaniu.</w:t>
      </w:r>
    </w:p>
    <w:p w:rsidR="001C5221" w:rsidRDefault="0078441F">
      <w:pPr>
        <w:numPr>
          <w:ilvl w:val="0"/>
          <w:numId w:val="7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po uzupełnieniu lub poprawieniu wniosku o dofinansowanie zgodnie z wezwaniem, o którym mowa w ust. 3, jest zobowiązany wysłać wprowadzone zmiany poprzez naciśnięcie w GW przycisku „Wyślij”. W przypadku gdy wnioskodawca nie wyśle wprowadzonych zmian w opisany powyżej sposób, zostaną one automatycznie zapisane i wysłane w GW w dniu upływu terminu wskazanego w wezwaniu, o którym mowa w ust. 3.</w:t>
      </w:r>
    </w:p>
    <w:p w:rsidR="001C5221" w:rsidRDefault="0078441F">
      <w:pPr>
        <w:pStyle w:val="Akapitzlist"/>
        <w:numPr>
          <w:ilvl w:val="0"/>
          <w:numId w:val="7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Dla rozstrzygnięcia, czy wniosek o dofinansowanie został uzupełniony lub poprawiony w terminie, decydująca jest: </w:t>
      </w:r>
    </w:p>
    <w:p w:rsidR="001C5221" w:rsidRDefault="0078441F" w:rsidP="00D66F21">
      <w:pPr>
        <w:pStyle w:val="Akapitzlist"/>
        <w:numPr>
          <w:ilvl w:val="0"/>
          <w:numId w:val="112"/>
        </w:numPr>
        <w:spacing w:after="120" w:line="276" w:lineRule="auto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data złożenia nowej wersji wniosku o dofinansowanie w GW lub dołączenia załączników w GW (data generowana jest przez system: po wysłaniu poprzez naciśnięcie w GW przycisku „Wyślij” lub automatycznie w przypadku niewysłania wprowadzonych zmian z dniem upływu terminu wskazanego w wezwaniu, o którym mowa w ust. 2)</w:t>
      </w:r>
    </w:p>
    <w:p w:rsidR="001C5221" w:rsidRDefault="0078441F">
      <w:pPr>
        <w:pStyle w:val="Akapitzlist"/>
        <w:spacing w:after="120" w:line="276" w:lineRule="auto"/>
        <w:ind w:left="426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 xml:space="preserve">albo </w:t>
      </w:r>
    </w:p>
    <w:p w:rsidR="001C5221" w:rsidRDefault="0078441F" w:rsidP="00781948">
      <w:pPr>
        <w:pStyle w:val="Akapitzlist"/>
        <w:numPr>
          <w:ilvl w:val="0"/>
          <w:numId w:val="112"/>
        </w:numPr>
        <w:spacing w:after="120" w:line="276" w:lineRule="auto"/>
        <w:ind w:left="1219" w:hanging="357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>data nadania dokumentu w polskiej placówce pocztowej operatora wyznaczonego w rozumieniu ustawy z dnia 23 listopada 2012 r. – Prawo pocztowe (Dz.U. z 2018 r. poz. 2188, z późn. zm.) (tj. w placówce Poczty Polskiej) lub data widniejąca na pieczęci wpływu dokumentu dostarczonego do PARP (w przypadkach innych, niż nadanie dokumentu w placówce Poczty Polskiej) w przypadku, gdy w związku z wystąpieniem okoliczności, określonych w § 6 ust. 10 nie jest możliwe złożenie załączników w GW.</w:t>
      </w:r>
    </w:p>
    <w:p w:rsidR="001C5221" w:rsidRDefault="0078441F">
      <w:pPr>
        <w:numPr>
          <w:ilvl w:val="0"/>
          <w:numId w:val="7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Dopuszczalne jest </w:t>
      </w:r>
      <w:r>
        <w:rPr>
          <w:rStyle w:val="Brak"/>
          <w:rFonts w:ascii="Calibri" w:hAnsi="Calibri"/>
          <w:b/>
          <w:bCs/>
        </w:rPr>
        <w:t>jednokrotne</w:t>
      </w:r>
      <w:r>
        <w:rPr>
          <w:rStyle w:val="Brak"/>
          <w:rFonts w:ascii="Calibri" w:hAnsi="Calibri"/>
        </w:rPr>
        <w:t xml:space="preserve"> uzupełnienie lub poprawienie wniosku o dofinansowanie w zakresie wskazanym przez PARP w wezwaniu.</w:t>
      </w:r>
    </w:p>
    <w:p w:rsidR="001C5221" w:rsidRDefault="0078441F">
      <w:pPr>
        <w:numPr>
          <w:ilvl w:val="0"/>
          <w:numId w:val="7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Jeżeli wnioskodawca nie poprawi lub nie uzupełni wniosku o dofinansowanie we wskazanym w wezwaniu terminie lub zakresie lub wprowadzi we wniosku o dofinansowanie zmiany inne niż wskazane w wezwaniu, wniosek o dofinansowanie </w:t>
      </w:r>
      <w:r>
        <w:rPr>
          <w:rStyle w:val="Brak"/>
          <w:rFonts w:ascii="Calibri" w:hAnsi="Calibri"/>
          <w:b/>
          <w:bCs/>
        </w:rPr>
        <w:t xml:space="preserve">zostanie pozostawiony bez rozpatrzenia i, w konsekwencji, nie zostanie dopuszczony do oceny spełnienia kryteriów wyboru projektów. </w:t>
      </w:r>
    </w:p>
    <w:p w:rsidR="001C5221" w:rsidRDefault="0078441F">
      <w:pPr>
        <w:numPr>
          <w:ilvl w:val="0"/>
          <w:numId w:val="7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PARP przechowuje w swoim systemie informatycznym wnioski o dofinansowanie pozostawione bez rozpatrzenia złożone w GW oraz wersje papierowe złożonych dokumentów lub nośniki danych (np. CD, DVD) do dnia 30 czerwca 2024 r.</w:t>
      </w:r>
    </w:p>
    <w:p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 xml:space="preserve">§8. Ogólne zasady dokonywania oceny projektów w konkursie </w:t>
      </w:r>
    </w:p>
    <w:p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Ocena projektów dokonywana jest w oparciu o kryteria wyboru projektów właściwe dla danego etapu oceny, określone w załączniku nr 1 do regulaminu, na podstawie informacji zawartych we wniosku o dofinansowanie oraz informacji lub dokumentów, o których mowa w ust. 4 (jeśli wnioskodawca był wezwany do ich złożenia), a także informacji udzielanych przez wnioskodawcę podczas posiedzenia Panelu Ekspertów. </w:t>
      </w:r>
    </w:p>
    <w:p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Ocena projektów dokonywana jest przez KOP.</w:t>
      </w:r>
    </w:p>
    <w:p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Ocena projektów trwa do 90 dni, liczonych od dnia zakończenia naboru wniosków o dofinansowanie w danej rundzie konkursu.</w:t>
      </w:r>
    </w:p>
    <w:p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przypadku, gdy do oceny spełnienia kryteriów wyboru projektów niezbędne okaże się złożenie przez wnioskodawcę dodatkowych informacji lub dokumentów innych, niż wymienione we wniosku o dofinansowanie, KOP może wezwać wnioskodawcę do ich złożenia.</w:t>
      </w:r>
    </w:p>
    <w:p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Informację o wezwaniu, umieszczonym w GW, do złożenia dodatkowych informacji lub dokumentów, o których mowa w ust. 4, KOP wysyła na adres poczty elektronicznej wnioskodawcy. Wnioskodawca jest zobowiązany do przekazania PARP wymaganych informacji lub dokumentów za pośrednictwem GW lub w inny sposób wskazany w wezwaniu w terminie 5 dni roboczych od dnia następującego po dniu wysłania przez KOP informacji o wezwaniu (dla biegu tego terminu nie ma znaczenia dzień odebrania wezwania przez wnioskodawcę). Przesłane w terminie wskazanym w wezwaniu informacje lub dokumenty stają się częścią dokumentacji aplikacyjnej wnioskodawcy. Jeżeli wnioskodawca nie przekaże informacji lub dokumentów w wyznaczonym terminie, ocena wniosku o dofinansowanie prowadzona jest przez KOP na podstawie posiadanych informacji.</w:t>
      </w:r>
    </w:p>
    <w:p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Dla sprawdzenia, czy wnioskodawca dochował terminu, o którym mowa ust. 5, stosuje się odpowiednio zasady, o których mowa w §7 ust. 5.</w:t>
      </w:r>
    </w:p>
    <w:p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Prawdziwość oświadczeń i danych zawartych we wniosku o dofinansowanie może zostać zweryfikowana w trakcie oceny, jak również przed i po zawarciu umowy o dofinansowanie projektu. </w:t>
      </w:r>
    </w:p>
    <w:p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Wnioskodawca ma prawo dostępu do dokumentów związanych z oceną złożonego przez siebie wniosku o dofinansowanie, z zastrzeżeniem, że dane osobowe członków KOP dokonujących oceny nie podlegają ujawnieniu. </w:t>
      </w:r>
    </w:p>
    <w:p w:rsidR="001C5221" w:rsidRDefault="0078441F">
      <w:pPr>
        <w:numPr>
          <w:ilvl w:val="0"/>
          <w:numId w:val="8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PARP przechowuje w swoim systemie informatycznym wnioski o dofinansowanie złożone w GW, które zostały ocenione negatywnie i, w stosunku do których nie został wniesiony protest oraz wersje papierowe złożonych dokumentów lub nośniki danych (np. CD, DVD) do dnia 30 czerwca 2024 r.</w:t>
      </w:r>
    </w:p>
    <w:p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§9. Zasady dokonywania oceny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Ocena spełnienia kryteriów wyboru projektów podzielona jest na dwa etapy.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Ocena w ramach I etapu dokonywana jest przez KOP w formie niezależnej oceny projektu przez co najmniej dwóch członków KOP.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Ocena w ramach I etapu kończy się:</w:t>
      </w:r>
    </w:p>
    <w:p w:rsidR="001C5221" w:rsidRDefault="0078441F">
      <w:pPr>
        <w:numPr>
          <w:ilvl w:val="0"/>
          <w:numId w:val="8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skierowaniem wniosku o dofinansowanie do oceny w ramach II etapu – w przypadku spełnienia wszystkich kryteriów wyboru projektów właściwych dla I etapu (ocena pozytywna), albo</w:t>
      </w:r>
    </w:p>
    <w:p w:rsidR="001C5221" w:rsidRDefault="0078441F">
      <w:pPr>
        <w:numPr>
          <w:ilvl w:val="0"/>
          <w:numId w:val="8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odrzuceniem wniosku o dofinansowanie – w przypadku niespełnienia któregokolwiek z kryteriów wyboru projektów właściwych dla I etapu (ocena negatywna).</w:t>
      </w:r>
    </w:p>
    <w:p w:rsidR="001C5221" w:rsidRDefault="0078441F">
      <w:pPr>
        <w:numPr>
          <w:ilvl w:val="0"/>
          <w:numId w:val="8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 zakończeniu oceny w ramach I etapu PARP publikuje na swojej stronie internetowej listę projektów zakwalifikowanych do oceny w ramach II etapu.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Ocena w ramach II etapu przeprowadzana jest przez KOP w formie Panelu Ekspertów.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Na II etapie oceny projekt może zostać cofnięty do oceny w ramach I etapu w celu przeprowadzenia ponownej weryfikacji spełniania kryteriów wyboru projektów właściwych dla I etapu.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Elementem oceny przeprowadzanej przez Panel Ekspertów jest posiedzenie Panelu Ekspertów z udziałem wnioskodawcy (lub os</w:t>
      </w:r>
      <w:r w:rsidR="00364FEF">
        <w:rPr>
          <w:rStyle w:val="Brak"/>
          <w:rFonts w:ascii="Calibri" w:hAnsi="Calibri"/>
        </w:rPr>
        <w:t>ó</w:t>
      </w:r>
      <w:r>
        <w:rPr>
          <w:rStyle w:val="Brak"/>
          <w:rFonts w:ascii="Calibri" w:hAnsi="Calibri"/>
        </w:rPr>
        <w:t>b upoważniony</w:t>
      </w:r>
      <w:r w:rsidR="00364FEF">
        <w:rPr>
          <w:rStyle w:val="Brak"/>
          <w:rFonts w:ascii="Calibri" w:hAnsi="Calibri"/>
        </w:rPr>
        <w:t>ch</w:t>
      </w:r>
      <w:r>
        <w:rPr>
          <w:rStyle w:val="Brak"/>
          <w:rFonts w:ascii="Calibri" w:hAnsi="Calibri"/>
        </w:rPr>
        <w:t xml:space="preserve"> do reprezentowania wnioskodawcy) w siedzibie PARP albo z wykorzystaniem środków komunikacji elektronicznej w rozumieniu art. 2 pkt 5 ustawy z dnia 18 lipca 2002 r. o świadczeniu usług drogą elektroniczną (Dz. U. z 2020 r. poz. 344) (tj. w formie wideokonferencji). Posiedzenie Panelu Ekspertów z wykorzystaniem środków komunikacji elektronicznej może odbyć się w uzasadnionych przypadkach, w szczególności w przypadku wystąpienia zdarzeń o charakterze siły wyższej. Decyzję o formie, w jakiej odbędzie się posiedzenie Panelu Ekspertów podejmuje PARP, o czym informuje wnioskodawcę w zawiadomieniu, o którym mowa w ust. 8.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Zawiadomienie o terminie i formie posiedzenia Panelu Ekspertów, wraz z wezwaniem do obowiązkowego udziału, wysyłane jest na adres poczty elektronicznej wnioskodawcy, na co najmniej 7 dni przed planowanym terminem posiedzenia. Brak udziału  wnioskodawcy na posiedzeniu Panelu Ekspertów w wyznaczonym terminie i formie jest równoznaczny z wycofaniem wniosku o dofinansowanie.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Wyznaczony termin posiedzenia Panelu Ekspertów nie podlega zmianie, z wyjątkiem przypadków losowych – niezależnych od wnioskodawcy oraz zdarzeń o charakterze siły wyższej. Ponadto, na prośbę wnioskodawcy, PARP dopuszcza możliwość jednokrotnej zmiany terminu posiedzenia Panelu Ekspertów zaplanowanego z wykorzystaniem środków komunikacji elektronicznej. W takich przypadkach PARP wyznacza nowy termin posiedzenia Panelu Ekspertów i informuje o tym wnioskodawcę zgodnie z zasadami określonymi w ust. 8, przy czym kolejny wyznaczony termin posiedzenia Panelu Ekspertów nie może wpłynąć na termin rozstrzygnięcia, o którym mowa w §</w:t>
      </w:r>
      <w:r w:rsidR="00364FEF">
        <w:rPr>
          <w:rStyle w:val="Brak"/>
          <w:rFonts w:ascii="Calibri" w:hAnsi="Calibri"/>
        </w:rPr>
        <w:t xml:space="preserve"> </w:t>
      </w:r>
      <w:r>
        <w:rPr>
          <w:rStyle w:val="Brak"/>
          <w:rFonts w:ascii="Calibri" w:hAnsi="Calibri"/>
        </w:rPr>
        <w:t xml:space="preserve">10 ust. 4. 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trakcie posiedzenia Panelu Ekspertów wnioskodawca przedstawia założenia projektu w zakresie kryteriów wyboru projektów właściwych dla II etapu oceny.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Maksymalny czas na prezentację wynosi 30 minut. Prezentacji dokonuje osoba upoważniona do reprezentowania wnioskodawcy na podstawie dokumentu rejestrowego lub upoważniony pracownik wnioskodawcy. W posiedzeniu mogą brać udział również członkowie konsorcjum (o ile występują) razem z wnioskodawcą. Prezentacji nie może dokonać przedstawiciel podmiotu zewnętrznego, w tym zwłaszcza firmy doradczej. W posiedzeniu po stronie wnioskodawcy mogą wziąć udział maksymalnie 4 osoby. 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Panel Ekspertów ma prawo zadawać pytania dotyczące spełniania przez projekt kryteriów wyboru projektów właściwych dla II etapu oceny, w tym zwłaszcza kryterium dotyczącym zdolności wnioskodawcy oraz członków konsorcjum (o ile występują) do zapewnienia finansowania projektu.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Przebieg posiedzenia Panelu Ekspertów z udziałem wnioskodawcy jest rejestrowany (dźwięk lub dźwięk i wizja).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lub osoba przez niego upoważniona może zapoznać się z nagraniem, o którym mowa w ust. 13, po rozstrzygnięciu rundy konkursu, o którym mowa w §10 ust. 4, wyłącznie w siedzibie PARP po złożeniu pisemnego wniosku o zapoznanie się z nagraniem.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PARP może wezwać wnioskodawcę do poprawy lub uzupełnienia wniosku o dofinansowanie w zakresie podlegającym ocenie spełnienia kryteriów wyboru projektów właściwych dla II etapu oceny, o ile możliwość taka została przewidziana dla danego kryterium w załączniku nr 1 do regulaminu.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przypadku, o którym mowa w ust. 15 PARP, na adres poczty elektronicznej wnioskodawcy, wysyła informację o wezwaniu w GW do poprawy lub uzupełnienia wniosku o dofinansowanie w terminie 5 dni roboczych od dnia następującego po dniu wysłania przez PARP informacji o wezwaniu (dla biegu tego terminu nie ma znaczenia dzień odebrania wezwania przez wnioskodawcę).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Dla sprawdzenia czy wnioskodawca dochował terminu stosuje się odpowiednio zasady, o których mowa w §7 ust. 5.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ocenie II etapu możliwe jest jednokrotne dokonanie poprawy lub uzupełnień wniosku o dofinansowanie w ramach danego kryterium.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jest zobowiązany do poprawienia lub uzupełnienia wniosku o dofinansowanie wyłącznie w zakresie wskazanym w wezwaniu.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Jeżeli wnioskodawca nie poprawi lub nie uzupełni wniosku o dofinansowanie w terminie lub zakresie wskazanym w wezwaniu, ocena projektu prowadzona jest na podstawie złożonego wniosku o dofinansowanie.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poprawionego lub uzupełnionego wniosku o dofinansowanie, gdy Panel Ekspertów uzna za niekwalifikowalne:</w:t>
      </w:r>
    </w:p>
    <w:p w:rsidR="001C5221" w:rsidRDefault="0078441F">
      <w:pPr>
        <w:numPr>
          <w:ilvl w:val="0"/>
          <w:numId w:val="8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mniej niż 10% kosztów wskazanych przez wnioskodawcę jako kwalifikowalne we wniosku o dofinansowanie, rekomenduje wnioskodawcy przeniesienie tych wydatków do wydatków niekwalifikowalnych,</w:t>
      </w:r>
    </w:p>
    <w:p w:rsidR="001C5221" w:rsidRDefault="0078441F">
      <w:pPr>
        <w:numPr>
          <w:ilvl w:val="0"/>
          <w:numId w:val="8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10% lub więcej kosztów wskazanych przez wnioskodawcę jako kwalifikowalne we wniosku o dofinansowanie, kryterium wyboru projektów „Wydatki w ramach projektu są kwalifikowalne, racjonalne i uzasadnione.” jest niespełnione. </w:t>
      </w:r>
    </w:p>
    <w:p w:rsidR="001C5221" w:rsidRDefault="0078441F">
      <w:pPr>
        <w:numPr>
          <w:ilvl w:val="0"/>
          <w:numId w:val="8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PARP wysyła na adres poczty elektronicznej wnioskodawcy, informację o wezwaniu wnioskodawcy w GW do wyrażenia zgody na zmianę, o której mowa w ust. 21 pkt 1, w terminie 3 dni roboczych od dnia następującego po dniu wysłania przez PARP informacji o wezwaniu w GW (dla biegu tego terminu nie ma znaczenia dzień odebrania wezwania przez wnioskodawcę). Wyrażenie zgody następuje w formie pisemnej, poprzez załączenie w GW skanu pisma podpisanego zgodnie z zasadami reprezentowania wnioskodawcy. </w:t>
      </w:r>
    </w:p>
    <w:p w:rsidR="001C5221" w:rsidRDefault="0078441F">
      <w:pPr>
        <w:numPr>
          <w:ilvl w:val="0"/>
          <w:numId w:val="8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Brak zgody wnioskodawcy lub brak odpowiedzi w terminie, o którym mowa w ust. 22 powoduje, że kryterium wyboru projektów „Wydatki w ramach projektu są kwalifikowalne, racjonalne i uzasadnione” jest niespełnione.</w:t>
      </w:r>
    </w:p>
    <w:p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§10. Zasady ustalania wyniku oceny projektów</w:t>
      </w:r>
    </w:p>
    <w:p w:rsidR="001C5221" w:rsidRDefault="0078441F">
      <w:pPr>
        <w:pStyle w:val="Akapitzlist"/>
        <w:numPr>
          <w:ilvl w:val="0"/>
          <w:numId w:val="9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Projekt może zostać wybrany do dofinansowania, jeżeli:</w:t>
      </w:r>
    </w:p>
    <w:p w:rsidR="001C5221" w:rsidRDefault="0078441F">
      <w:pPr>
        <w:pStyle w:val="Akapitzlist"/>
        <w:numPr>
          <w:ilvl w:val="0"/>
          <w:numId w:val="9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spełnił kryteria wyboru projektów oraz</w:t>
      </w:r>
    </w:p>
    <w:p w:rsidR="001C5221" w:rsidRDefault="0078441F">
      <w:pPr>
        <w:pStyle w:val="Akapitzlist"/>
        <w:numPr>
          <w:ilvl w:val="0"/>
          <w:numId w:val="92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kwota przeznaczona na dofinansowanie projektów w konkursie, o której mowa w §3 ust. 4, umożliwia wybranie go do dofinansowania.</w:t>
      </w:r>
    </w:p>
    <w:p w:rsidR="001C5221" w:rsidRDefault="0078441F">
      <w:pPr>
        <w:pStyle w:val="Akapitzlist"/>
        <w:numPr>
          <w:ilvl w:val="0"/>
          <w:numId w:val="9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przypadku, gdy kwota przeznaczona na dofinansowanie projektów w konkursie, o której mowa w § 3 ust. 4 uniemożliwia dofinansowanie wszystkich projektów, o których mowa w ust. 1 dofinansowanie uzyskują projekty, które zdobędą największą liczbę punktów w ramach oceny kryteriów wyboru projektów. W przypadku projektów, które w wyniku oceny uzyskały taką samą liczbę punktów, o wyborze do dofinansowania decydować będą kryteria rozstrzygające określone w załączniku nr 1 do regulaminu.</w:t>
      </w:r>
    </w:p>
    <w:p w:rsidR="001C5221" w:rsidRDefault="0078441F">
      <w:pPr>
        <w:pStyle w:val="Akapitzlist"/>
        <w:numPr>
          <w:ilvl w:val="0"/>
          <w:numId w:val="9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 zakończeniu oceny wszystkich projektów PARP zatwierdza listę ocenionych projektów zawierającą przyznane oceny z wyróżnieniem projektów wybranych do dofinansowania, w ramach kwoty o której mowa w § 3 ust. 4.</w:t>
      </w:r>
    </w:p>
    <w:p w:rsidR="001C5221" w:rsidRDefault="0078441F">
      <w:pPr>
        <w:pStyle w:val="Akapitzlist"/>
        <w:numPr>
          <w:ilvl w:val="0"/>
          <w:numId w:val="9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Zatwierdzenie przez PARP listy, o której mowa w ust. 3 stanowi rozstrzygnięcie rundy konkursu.</w:t>
      </w:r>
    </w:p>
    <w:p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§11. Informacja o przyznaniu dofinansowania</w:t>
      </w:r>
    </w:p>
    <w:p w:rsidR="001C5221" w:rsidRDefault="0078441F">
      <w:pPr>
        <w:numPr>
          <w:ilvl w:val="0"/>
          <w:numId w:val="9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Niezwłocznie po zakończeniu oceny, PARP informuje na piśmie każdego z wnioskodawców o wynikach oceny jego projektu wraz z uzasadnieniem oceny i podaniem liczby punktów uzyskanych przez projekt. </w:t>
      </w:r>
    </w:p>
    <w:p w:rsidR="001C5221" w:rsidRDefault="0078441F">
      <w:pPr>
        <w:numPr>
          <w:ilvl w:val="0"/>
          <w:numId w:val="9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 terminie 3 dni od rozstrzygnięcia rundy konkursu, o którym mowa w § 10 ust. 4, PARP publikuje na swojej stronie internetowej oraz na portalu listę projektów, które spełniły kryteria wyboru projektów i uzyskały wymaganą liczbę punktów, z wyróżnieniem projektów wybranych do dofinansowania. </w:t>
      </w:r>
    </w:p>
    <w:p w:rsidR="001C5221" w:rsidRDefault="0078441F">
      <w:pPr>
        <w:numPr>
          <w:ilvl w:val="0"/>
          <w:numId w:val="9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Informacja o negatywnej ocenie projektu zawiera pouczenie o możliwości wniesienia protestu zgodnie z rozdziałem 15 ustawy wdrożeniowej.</w:t>
      </w:r>
    </w:p>
    <w:p w:rsidR="001C5221" w:rsidRDefault="0078441F">
      <w:pPr>
        <w:numPr>
          <w:ilvl w:val="0"/>
          <w:numId w:val="95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Przewidywany termin rozstrzygnięcia rundy konkursu, o którym mowa w § 10 ust. 4 to 4 miesiące od dnia zamknięcia naboru wniosków o dofinansowanie w danej rundzie konkursu.</w:t>
      </w:r>
    </w:p>
    <w:p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§12. Warunki zawarcia umowy o dofinansowanie projektu</w:t>
      </w:r>
    </w:p>
    <w:p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Wraz z informacją o wyborze projektu do dofinansowania, PARP wzywa na piśmie wnioskodawcę do dostarczenia dokumentów niezbędnych do zawarcia umowy o dofinansowanie projektu, wymienionych w załączniku nr 5 do regulaminu.</w:t>
      </w:r>
    </w:p>
    <w:p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dostarcza dokumenty niezbędne do zawarcia umowy o dofinansowanie w terminie 14 dni  od dnia doręczenia wezwania, o którym mowa w ust. 1. W przypadku niedostarczenia kompletnych co do formy i treści dokumentów w tym terminie, PARP może odstąpić od zawarcia umowy o dofinansowanie projektu.</w:t>
      </w:r>
    </w:p>
    <w:p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Przed zawarciem umowy o dofinansowanie projektu PARP dokona weryfikacji, czy wnioskodawca oraz członkowie konsorcjum (o ile występują) mogą otrzymać dofinansowanie, w szczególności:</w:t>
      </w:r>
    </w:p>
    <w:p w:rsidR="001C5221" w:rsidRPr="007C70AF" w:rsidRDefault="0078441F" w:rsidP="007C70AF">
      <w:pPr>
        <w:pStyle w:val="Akapitzlist"/>
        <w:numPr>
          <w:ilvl w:val="0"/>
          <w:numId w:val="113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wystąpi do Ministra Finansów o informację czy wnioskodawca oraz członkowie konsorcjum (o ile występują) występujący w rekomendowanym do dofinansowania projekcie nie są podmiotami wykluczonymi na podstawie art. 207 ustawy z dnia 27 sierpnia 2009 r. o finansach publicznych;</w:t>
      </w:r>
    </w:p>
    <w:p w:rsidR="001C5221" w:rsidRPr="007C70AF" w:rsidRDefault="0078441F" w:rsidP="007C70AF">
      <w:pPr>
        <w:pStyle w:val="Akapitzlist"/>
        <w:numPr>
          <w:ilvl w:val="0"/>
          <w:numId w:val="113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potwierdzi, że wnioskodawca lub którykolwiek z członków konsorcjum (o ile występują) nie naruszył w sposób istotny umowy zawartej z PARP w związku z art. 6b ust. 3 pkt 3 lit. c ustawy o PARP;</w:t>
      </w:r>
    </w:p>
    <w:p w:rsidR="001C5221" w:rsidRPr="007C70AF" w:rsidRDefault="0078441F" w:rsidP="007C70AF">
      <w:pPr>
        <w:pStyle w:val="Akapitzlist"/>
        <w:numPr>
          <w:ilvl w:val="0"/>
          <w:numId w:val="113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zweryfikuje status MŚP wnioskodawcy oraz członków konsorcjum (o ile występują);</w:t>
      </w:r>
    </w:p>
    <w:p w:rsidR="001C5221" w:rsidRPr="007C70AF" w:rsidRDefault="0078441F" w:rsidP="007C70AF">
      <w:pPr>
        <w:pStyle w:val="Akapitzlist"/>
        <w:numPr>
          <w:ilvl w:val="0"/>
          <w:numId w:val="113"/>
        </w:numPr>
        <w:spacing w:after="120" w:line="276" w:lineRule="auto"/>
        <w:rPr>
          <w:rStyle w:val="Brak"/>
          <w:rFonts w:ascii="Calibri" w:hAnsi="Calibri"/>
        </w:rPr>
      </w:pPr>
      <w:r>
        <w:rPr>
          <w:rStyle w:val="Brak"/>
          <w:rFonts w:ascii="Calibri" w:hAnsi="Calibri"/>
        </w:rPr>
        <w:t>zweryfikuje możliwości udzielenia pomocy publicznej lub pomocy de minimis.</w:t>
      </w:r>
    </w:p>
    <w:p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Oświadczenie wnioskodawcy dotyczące aktualności danych i oświadczeń składane jest pod rygorem odpowiedzialności karnej za składanie fałszywych zeznań, z wyjątkiem oświadczenia, o którym mowa w art. 41 ust. 2 pkt 7c ustawy wdrożeniowej.</w:t>
      </w:r>
    </w:p>
    <w:p w:rsidR="001C5221" w:rsidRDefault="0078441F">
      <w:pPr>
        <w:pStyle w:val="Akapitzlist"/>
        <w:numPr>
          <w:ilvl w:val="0"/>
          <w:numId w:val="9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Wraz z formularzem „Analiza zgodności projektu z polityką ochrony środowiska” wypełnionym zgodnie ze wzorem zawartym w dokumentacji konkursowej wnioskodawca jest zobowiązany do przedstawienia „zezwolenia na inwestycję”</w:t>
      </w:r>
      <w:r>
        <w:rPr>
          <w:rStyle w:val="Brak"/>
          <w:rFonts w:ascii="Calibri" w:eastAsia="Calibri" w:hAnsi="Calibri" w:cs="Calibri"/>
          <w:vertAlign w:val="superscript"/>
        </w:rPr>
        <w:footnoteReference w:id="3"/>
      </w:r>
      <w:r>
        <w:rPr>
          <w:rStyle w:val="Brak"/>
          <w:rFonts w:ascii="Calibri" w:hAnsi="Calibri"/>
        </w:rPr>
        <w:t xml:space="preserve"> oraz innych dokumentów niezbędnych do rozpoczęcia robót budowlanych, w szczególności zgłoszenia robót budowlanych, do których nie wniesiono sprzeciwu (w zakresie, w jakim dotyczy projektu).</w:t>
      </w:r>
    </w:p>
    <w:p w:rsidR="001C5221" w:rsidRDefault="0078441F">
      <w:pPr>
        <w:pStyle w:val="Akapitzlist"/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braku możliwości przedłożenia w terminie określonym w ust. 2:</w:t>
      </w:r>
    </w:p>
    <w:p w:rsidR="001C5221" w:rsidRPr="00B36D84" w:rsidRDefault="0078441F" w:rsidP="00B36D84">
      <w:pPr>
        <w:pStyle w:val="Akapitzlist"/>
        <w:numPr>
          <w:ilvl w:val="0"/>
          <w:numId w:val="111"/>
        </w:numPr>
        <w:spacing w:line="276" w:lineRule="auto"/>
        <w:rPr>
          <w:rStyle w:val="Brak"/>
          <w:rFonts w:ascii="Calibri" w:eastAsia="Calibri" w:hAnsi="Calibri" w:cs="Calibri"/>
        </w:rPr>
      </w:pPr>
      <w:r w:rsidRPr="00B36D84">
        <w:rPr>
          <w:rStyle w:val="Brak"/>
          <w:rFonts w:ascii="Calibri" w:hAnsi="Calibri"/>
        </w:rPr>
        <w:t xml:space="preserve">„zezwolenia na inwestycję”, o którym mowa w ust. 5 lub </w:t>
      </w:r>
    </w:p>
    <w:p w:rsidR="001C5221" w:rsidRPr="00B36D84" w:rsidRDefault="0078441F" w:rsidP="00B36D84">
      <w:pPr>
        <w:pStyle w:val="Akapitzlist"/>
        <w:numPr>
          <w:ilvl w:val="0"/>
          <w:numId w:val="111"/>
        </w:numPr>
        <w:spacing w:line="276" w:lineRule="auto"/>
        <w:rPr>
          <w:rStyle w:val="Brak"/>
          <w:rFonts w:ascii="Calibri" w:eastAsia="Calibri" w:hAnsi="Calibri" w:cs="Calibri"/>
        </w:rPr>
      </w:pPr>
      <w:r w:rsidRPr="00B36D84">
        <w:rPr>
          <w:rStyle w:val="Brak"/>
          <w:rFonts w:ascii="Calibri" w:hAnsi="Calibri"/>
        </w:rPr>
        <w:t>innych dokumentów, o których mowa w ust. 5, niezbędnych do rozpoczęcia robót budowlanych, w szczególności zgłoszenia robót budowlanych, do których nie wniesiono sprzeciwu lub</w:t>
      </w:r>
    </w:p>
    <w:p w:rsidR="001C5221" w:rsidRPr="00B36D84" w:rsidRDefault="0078441F" w:rsidP="00B36D84">
      <w:pPr>
        <w:pStyle w:val="Akapitzlist"/>
        <w:numPr>
          <w:ilvl w:val="0"/>
          <w:numId w:val="111"/>
        </w:numPr>
        <w:spacing w:line="276" w:lineRule="auto"/>
        <w:rPr>
          <w:rStyle w:val="Brak"/>
          <w:rFonts w:ascii="Calibri" w:eastAsia="Calibri" w:hAnsi="Calibri" w:cs="Calibri"/>
        </w:rPr>
      </w:pPr>
      <w:r w:rsidRPr="00B36D84">
        <w:rPr>
          <w:rStyle w:val="Brak"/>
          <w:rFonts w:ascii="Calibri" w:hAnsi="Calibri"/>
        </w:rPr>
        <w:t>dokumentów potwierdzających uzyskanie zewnętrznego finansowania projektu lub</w:t>
      </w:r>
    </w:p>
    <w:p w:rsidR="001C5221" w:rsidRPr="00B36D84" w:rsidRDefault="0078441F" w:rsidP="00B36D84">
      <w:pPr>
        <w:pStyle w:val="Akapitzlist"/>
        <w:numPr>
          <w:ilvl w:val="0"/>
          <w:numId w:val="111"/>
        </w:numPr>
        <w:spacing w:after="120" w:line="276" w:lineRule="auto"/>
        <w:rPr>
          <w:rStyle w:val="Brak"/>
          <w:rFonts w:ascii="Calibri" w:eastAsia="Calibri" w:hAnsi="Calibri" w:cs="Calibri"/>
        </w:rPr>
      </w:pPr>
      <w:r w:rsidRPr="00B36D84">
        <w:rPr>
          <w:rStyle w:val="Brak"/>
          <w:rFonts w:ascii="Calibri" w:hAnsi="Calibri"/>
        </w:rPr>
        <w:t>sprawozdania finansowego za ostatni rok obrotowy sporządzonego zgodnie z przepisami ustawy z dnia 29 września 1994 r. o rachunkowości (Dz. U. z 2018 r. poz. 395, z późn. zm.) potwierdzającego posiadanie deklarowanego przez wnioskodawcę oraz członków konsorcjum (o ile występują) we wniosku o dofinansowanie statusu odpowiednio mikroprzedsiębiorcy, małego lub średniego przedsiębiorcy oraz potwierdzającego, że nie znajduje się on w trudnej sytuacji w rozumieniu unijnych przepisów dotyczących pomocy państwa.</w:t>
      </w:r>
    </w:p>
    <w:p w:rsidR="001C5221" w:rsidRDefault="0078441F">
      <w:pPr>
        <w:spacing w:after="120" w:line="276" w:lineRule="auto"/>
        <w:ind w:left="502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</w:rPr>
        <w:t xml:space="preserve">PARP może zawrzeć z wnioskodawcą tzw. </w:t>
      </w:r>
      <w:r>
        <w:rPr>
          <w:rStyle w:val="Brak"/>
          <w:rFonts w:ascii="Calibri" w:hAnsi="Calibri"/>
          <w:b/>
          <w:bCs/>
        </w:rPr>
        <w:t>umowę warunkową</w:t>
      </w:r>
      <w:r>
        <w:rPr>
          <w:rStyle w:val="Brak"/>
          <w:rFonts w:ascii="Calibri" w:hAnsi="Calibri"/>
        </w:rPr>
        <w:t>, o której mowa w §9a/8a</w:t>
      </w:r>
      <w:r>
        <w:rPr>
          <w:rStyle w:val="Brak"/>
          <w:rFonts w:ascii="Calibri" w:eastAsia="Calibri" w:hAnsi="Calibri" w:cs="Calibri"/>
          <w:vertAlign w:val="superscript"/>
        </w:rPr>
        <w:footnoteReference w:id="4"/>
      </w:r>
      <w:r>
        <w:rPr>
          <w:rStyle w:val="Brak"/>
          <w:rFonts w:ascii="Calibri" w:hAnsi="Calibri"/>
        </w:rPr>
        <w:t xml:space="preserve"> wzoru umowy o dofinansowanie projektu.</w:t>
      </w:r>
    </w:p>
    <w:p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umowie warunkowej, o której mowa w ust. 6, wnioskodawca zostanie zobowiązany do złożenia ostatecznych dokumentów, o których mowa w ust. 6 pkt 1, w tym ostatecznych pozwoleń na budowę oraz innych dokumentów, o których mowa w ust. 6 pkt 2, niezbędnych do rozpoczęcia robót budowlanych, w szczególności zgłoszenia robót budowlanych, do których nie wniesiono sprzeciwu, w terminie do 3 miesięcy od dnia zawarcia umowy o dofinansowanie projektu.</w:t>
      </w:r>
    </w:p>
    <w:p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umowie warunkowej, o której mowa w ust. 6, wnioskodawca zostanie zobowiązany do złożenia dokumentów potwierdzających zewnętrzne źródła finansowania projektu w terminie do 3 miesięcy od dnia zawarcia  umowy o dofinansowanie projektu.</w:t>
      </w:r>
    </w:p>
    <w:p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umowie warunkowej, o której mowa w ust. 6, wnioskodawca zostanie zobowiązany do złożenia sprawozdania finansowego sporządzonego zgodnie z przepisami ustawy z dnia 29 września 1994 r. o rachunkowości, w terminie nie późniejszym niż 3 miesiące od dnia zawarcia umowy o dofinansowanie projektu.</w:t>
      </w:r>
    </w:p>
    <w:p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Po bezskutecznym upływie terminów na złożenie do PARP dokumentów, o których mowa w ust. 7, 8 i 9, umowa warunkowa, o której mowa w ust. 6, ulega rozwiązaniu. W przypadku, gdy złożenie dokumentów, o których mowa w ust. 6, nie będzie możliwe w terminach, o których mowa odpowiednio w ust. 7, 8 i 9, beneficjent może, przed upływem tych terminów, złożyć wniosek o wydłużenie terminu złożenia dokumentów wraz z uzasadnieniem. PARP może wydłużyć termin złożenia dokumentów.</w:t>
      </w:r>
    </w:p>
    <w:p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PARP sprawdza kompletność oraz prawidłowość sporządzenia dokumentów dostarczonych przez wnioskodawcę, o których mowa w ust. 1.</w:t>
      </w:r>
    </w:p>
    <w:p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Umowa o dofinansowanie projektu zostanie zawarta jeżeli: </w:t>
      </w:r>
    </w:p>
    <w:p w:rsidR="001C5221" w:rsidRDefault="0078441F">
      <w:pPr>
        <w:numPr>
          <w:ilvl w:val="0"/>
          <w:numId w:val="10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projekt został umieszczony na zatwierdzonej liście projektów wybranych do dofinansowania;</w:t>
      </w:r>
    </w:p>
    <w:p w:rsidR="001C5221" w:rsidRDefault="0078441F">
      <w:pPr>
        <w:numPr>
          <w:ilvl w:val="0"/>
          <w:numId w:val="10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wnioskodawca dostarczył wszystkie dokumenty, o których mowa w ust. 1, z zastrzeżeniem ust. 6;</w:t>
      </w:r>
    </w:p>
    <w:p w:rsidR="001C5221" w:rsidRDefault="0078441F">
      <w:pPr>
        <w:numPr>
          <w:ilvl w:val="0"/>
          <w:numId w:val="10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brak jest negatywnych przesłanek zawarcia umowy o dofinansowanie projektu w wyniku weryfikacji dokumentów, o których mowa w ust. 1;</w:t>
      </w:r>
    </w:p>
    <w:p w:rsidR="001C5221" w:rsidRDefault="0078441F">
      <w:pPr>
        <w:numPr>
          <w:ilvl w:val="0"/>
          <w:numId w:val="100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projekt spełnia wszystkie kryteria, na podstawie których został wybrany do dofinansowania.</w:t>
      </w:r>
    </w:p>
    <w:p w:rsidR="001C5221" w:rsidRDefault="0078441F">
      <w:pPr>
        <w:numPr>
          <w:ilvl w:val="0"/>
          <w:numId w:val="101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PARP może odmówić udzielenia dofinansowania na podstawie art. 6b ust. 4 i 4a ustawy o PARP. </w:t>
      </w:r>
    </w:p>
    <w:p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Przed zawarciem umowy o dofinansowanie projektu PARP może zweryfikować ryzyko wystąpienia nieprawidłowości w zakresie realizacji projektu, po analizie informacji na temat projektów realizowanych przez wnioskodawcę oraz członków konsorcjum (o ile występują) na podstawie umów o dofinansowanie zawartych z PARP.</w:t>
      </w:r>
    </w:p>
    <w:p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Wzory umowy o dofinansowanie projektu stanowi załącznik nr 4 do regulaminu.</w:t>
      </w:r>
    </w:p>
    <w:p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  <w:b/>
          <w:bCs/>
        </w:rPr>
      </w:pPr>
      <w:r>
        <w:rPr>
          <w:rStyle w:val="Brak"/>
          <w:rFonts w:ascii="Calibri" w:hAnsi="Calibri"/>
        </w:rPr>
        <w:t>Wnioskodawca oraz członkowie konsorcjum (o ile występują) są zobowiązani do ustanowienia zabezpieczenia należytego wykonania umowy o dofinansowanie projektu w formach i na warunkach określonych w umowie o dofinansowanie projektu. Instrukcja przyjmowania oraz zwrotu zabezpieczeń jest udostępniana wraz z dokumentacją dotyczącą konkursu.</w:t>
      </w:r>
    </w:p>
    <w:p w:rsidR="001C5221" w:rsidRDefault="0078441F">
      <w:pPr>
        <w:numPr>
          <w:ilvl w:val="0"/>
          <w:numId w:val="97"/>
        </w:numPr>
        <w:spacing w:after="120" w:line="276" w:lineRule="auto"/>
        <w:rPr>
          <w:rFonts w:ascii="Calibri" w:hAnsi="Calibri"/>
          <w:b/>
          <w:bCs/>
        </w:rPr>
      </w:pPr>
      <w:r>
        <w:rPr>
          <w:rStyle w:val="Brak"/>
          <w:rFonts w:ascii="Calibri" w:hAnsi="Calibri"/>
        </w:rPr>
        <w:t>PARP zastrzega możliwość powierzenia czynności w zakresie weryfikacji statusu MŚP oraz trudnej sytuacji wnioskodawcy i członków konsorcjum (o ile występują), o której mowa w art. 2 pkt 18 rozporządzenia KE nr 651/2014, podmiotom zewnętrznym.</w:t>
      </w:r>
    </w:p>
    <w:p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§13. Procedura odwoławcza</w:t>
      </w:r>
    </w:p>
    <w:p w:rsidR="001C5221" w:rsidRDefault="0078441F">
      <w:pPr>
        <w:numPr>
          <w:ilvl w:val="0"/>
          <w:numId w:val="10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 przypadku negatywnej oceny projektu, o której mowa w art. 53 ust. 2 ustawy wdrożeniowej, wnioskodawcy przysługuje prawo wniesienia, w terminie 14 dni od dnia doręczenia informacji o negatywnej ocenie, protestu na zasadach określonych w rozdziale 15 ustawy wdrożeniowej. </w:t>
      </w:r>
    </w:p>
    <w:p w:rsidR="001C5221" w:rsidRDefault="0078441F">
      <w:pPr>
        <w:numPr>
          <w:ilvl w:val="0"/>
          <w:numId w:val="10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Protest jest wnoszony do PARP.</w:t>
      </w:r>
    </w:p>
    <w:p w:rsidR="001C5221" w:rsidRDefault="0078441F">
      <w:pPr>
        <w:numPr>
          <w:ilvl w:val="0"/>
          <w:numId w:val="10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PARP rozpatruje protest, weryfikując prawidłowość oceny projektu w zakresie kryteriów i zarzutów, o których mowa w art. 54 ust. 2 pkt 4 i 5 ustawy wdrożeniowej, w terminie nie dłuższym niż 21 dni, licząc od dnia otrzymania protestu. W uzasadnionych przypadkach, w szczególności gdy w trakcie rozpatrywania protestu konieczne jest skorzystanie z pomocy ekspertów, termin rozpatrzenia protestu może być przedłużony, o czym PARP informuje na piśmie wnioskodawcę. Termin rozpatrzenia protestu nie może przekroczyć łącznie 45 dni od dnia otrzymania protestu.</w:t>
      </w:r>
    </w:p>
    <w:p w:rsidR="001C5221" w:rsidRDefault="0078441F">
      <w:pPr>
        <w:numPr>
          <w:ilvl w:val="0"/>
          <w:numId w:val="104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Projekt może otrzymać dofinansowanie w wyniku procedury odwoławczej pod warunkiem, że spełnił kryteria wyboru projektów oraz uzyskał co najmniej tyle punktów, ile uzyskał projekt umieszczony na ostatnim miejscu na liście projektów wybranych do dofinansowania</w:t>
      </w:r>
      <w:r>
        <w:rPr>
          <w:rStyle w:val="Brak"/>
          <w:rFonts w:ascii="Calibri" w:hAnsi="Calibri"/>
          <w:i/>
          <w:iCs/>
        </w:rPr>
        <w:t xml:space="preserve"> </w:t>
      </w:r>
      <w:r>
        <w:rPr>
          <w:rStyle w:val="Brak"/>
          <w:rFonts w:ascii="Calibri" w:hAnsi="Calibri"/>
        </w:rPr>
        <w:t>w ramach konkursu z uwzględnieniem kryteriów rozstrzygających oraz pod warunkiem dostępności środków finansowych. Postanowienia §12 stosuje się odpowiednio.</w:t>
      </w:r>
    </w:p>
    <w:p w:rsidR="001C5221" w:rsidRDefault="0078441F">
      <w:pPr>
        <w:numPr>
          <w:ilvl w:val="0"/>
          <w:numId w:val="103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Protest może zostać wycofany przez wnioskodawcę zgodnie z art. 54a ustawy wdrożeniowej.</w:t>
      </w:r>
    </w:p>
    <w:p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§14. Sposób udzielania wyjaśnień w kwestiach dotyczących konkursu</w:t>
      </w:r>
    </w:p>
    <w:p w:rsidR="001C5221" w:rsidRDefault="0078441F">
      <w:pPr>
        <w:numPr>
          <w:ilvl w:val="0"/>
          <w:numId w:val="10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Odesłanie do odpowiedzi na pytania dotyczące procedury wyboru projektów oraz składania wniosków o dofinansowanie w ramach poddziałania (FAQ) znajduje się na stronie faq.parp.gov.pl. </w:t>
      </w:r>
    </w:p>
    <w:p w:rsidR="001C5221" w:rsidRDefault="0078441F">
      <w:pPr>
        <w:numPr>
          <w:ilvl w:val="0"/>
          <w:numId w:val="10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Ewentualne pytania można przesyłać za pośrednictwem formularza kontaktowego dostępnego na stronie poddziałania.</w:t>
      </w:r>
    </w:p>
    <w:p w:rsidR="001C5221" w:rsidRDefault="0078441F">
      <w:pPr>
        <w:numPr>
          <w:ilvl w:val="0"/>
          <w:numId w:val="106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Wyjaśnień dotyczących konkursu udziela również Infolinia PARP odpowiadając na zapytania kierowane na adres poczty elektronicznej: </w:t>
      </w:r>
      <w:hyperlink r:id="rId11" w:history="1">
        <w:r>
          <w:rPr>
            <w:rStyle w:val="Hyperlink1"/>
            <w:rFonts w:ascii="Calibri" w:hAnsi="Calibri"/>
          </w:rPr>
          <w:t>info@parp.gov.pl</w:t>
        </w:r>
      </w:hyperlink>
      <w:r>
        <w:rPr>
          <w:rStyle w:val="Hyperlink1"/>
          <w:rFonts w:ascii="Calibri" w:hAnsi="Calibri"/>
        </w:rPr>
        <w:t xml:space="preserve"> oraz telefonicznie pod numerami 22 574 07 07 lub 0 801 332 202.  </w:t>
      </w:r>
    </w:p>
    <w:p w:rsidR="001C5221" w:rsidRDefault="0078441F">
      <w:pPr>
        <w:numPr>
          <w:ilvl w:val="0"/>
          <w:numId w:val="106"/>
        </w:numPr>
        <w:spacing w:after="120"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 xml:space="preserve">Odpowiedzi na wszystkie pytania udzielane są indywidualnie. Odpowiedzi polegające na wyjaśnieniu procedur lub ich interpretacji są dodatkowo zamieszczane w FAQ, do których odesłanie znajduje się na stronie poddziałania. </w:t>
      </w:r>
    </w:p>
    <w:p w:rsidR="001C5221" w:rsidRDefault="0078441F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§15. Postanowienia końcowe</w:t>
      </w:r>
    </w:p>
    <w:p w:rsidR="001C5221" w:rsidRDefault="0078441F">
      <w:pPr>
        <w:numPr>
          <w:ilvl w:val="0"/>
          <w:numId w:val="10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PARP zastrzega sobie możliwość zmiany regulaminu, z zastrzeżeniem art. 41 ust. 3-4 ustawy wdrożeniowej. </w:t>
      </w:r>
    </w:p>
    <w:p w:rsidR="001C5221" w:rsidRDefault="0078441F">
      <w:pPr>
        <w:numPr>
          <w:ilvl w:val="0"/>
          <w:numId w:val="10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 przypadku zmiany regulaminu, PARP zamieszcza na stronie poddziałania oraz na portalu informację o jego zmianie, aktualną treść regulaminu, uzasadnienie zmiany oraz termin, od którego stosuje się zmianę. PARP udostępnia na stronie poddziałania oraz na portalu poprzednie wersje regulaminu. PARP niezwłocznie informuje o zmianie regulaminu każdego wnioskodawcę.</w:t>
      </w:r>
    </w:p>
    <w:p w:rsidR="001C5221" w:rsidRDefault="0078441F">
      <w:pPr>
        <w:numPr>
          <w:ilvl w:val="0"/>
          <w:numId w:val="108"/>
        </w:numPr>
        <w:spacing w:after="12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PARP zastrzega sobie możliwość anulowania konkursu lub rundy konkursu, w szczególności w przypadku wprowadzenia istotnych zmian w przepisach prawa mających wpływ na warunki przeprowadzenia konkursu lub zaistnienia zdarzeń o charakterze siły wyższej. </w:t>
      </w:r>
    </w:p>
    <w:p w:rsidR="001C5221" w:rsidRDefault="00921F48">
      <w:pPr>
        <w:pStyle w:val="Nagwek2"/>
        <w:spacing w:after="240" w:line="276" w:lineRule="auto"/>
        <w:rPr>
          <w:rStyle w:val="Brak"/>
          <w:rFonts w:ascii="Calibri" w:eastAsia="Calibri" w:hAnsi="Calibri" w:cs="Calibri"/>
          <w:i w:val="0"/>
          <w:iCs w:val="0"/>
        </w:rPr>
      </w:pPr>
      <w:r>
        <w:rPr>
          <w:rStyle w:val="Brak"/>
          <w:rFonts w:ascii="Calibri" w:hAnsi="Calibri"/>
          <w:i w:val="0"/>
          <w:iCs w:val="0"/>
        </w:rPr>
        <w:t>Załączniki:</w:t>
      </w:r>
    </w:p>
    <w:p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>Kryteria wyboru projektów wraz z podaniem ich znaczenia;</w:t>
      </w:r>
    </w:p>
    <w:p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>Wzór wniosku o dofinansowanie projektu;</w:t>
      </w:r>
    </w:p>
    <w:p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>Instrukcja wypełniania wniosku o dofinasowanie projektu (dla MŚP, dla konsorcjum);</w:t>
      </w:r>
    </w:p>
    <w:p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>Wzory umów o dofinansowanie projektu;</w:t>
      </w:r>
    </w:p>
    <w:p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>Lista dokumentów niezbędnych do zawarcia umowy o dofinansowanie projektu;</w:t>
      </w:r>
    </w:p>
    <w:p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>Wspólne obszary inteligentnych specjalizacji województw Polski Wschodniej, styczeń 2018;</w:t>
      </w:r>
    </w:p>
    <w:p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 xml:space="preserve">Minimalny zakres umowy o partnerstwie; </w:t>
      </w:r>
    </w:p>
    <w:p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Wzór promesy kredytowej;</w:t>
      </w:r>
      <w:r>
        <w:rPr>
          <w:rStyle w:val="Hyperlink1"/>
          <w:rFonts w:ascii="Calibri" w:hAnsi="Calibri"/>
        </w:rPr>
        <w:t xml:space="preserve"> </w:t>
      </w:r>
    </w:p>
    <w:p w:rsidR="001C5221" w:rsidRDefault="0078441F">
      <w:pPr>
        <w:numPr>
          <w:ilvl w:val="0"/>
          <w:numId w:val="110"/>
        </w:numPr>
        <w:spacing w:after="60" w:line="276" w:lineRule="auto"/>
        <w:rPr>
          <w:rFonts w:ascii="Calibri" w:hAnsi="Calibri"/>
        </w:rPr>
      </w:pPr>
      <w:r>
        <w:rPr>
          <w:rStyle w:val="Brak"/>
          <w:rFonts w:ascii="Calibri" w:hAnsi="Calibri"/>
        </w:rPr>
        <w:t>Lista gmin objętych regionami Bieszczad i Mazur;</w:t>
      </w:r>
    </w:p>
    <w:p w:rsidR="001C5221" w:rsidRDefault="0078441F">
      <w:pPr>
        <w:numPr>
          <w:ilvl w:val="0"/>
          <w:numId w:val="110"/>
        </w:numPr>
        <w:spacing w:line="276" w:lineRule="auto"/>
        <w:rPr>
          <w:rFonts w:ascii="Calibri" w:hAnsi="Calibri"/>
        </w:rPr>
      </w:pPr>
      <w:r>
        <w:rPr>
          <w:rStyle w:val="Hyperlink1"/>
          <w:rFonts w:ascii="Calibri" w:hAnsi="Calibri"/>
        </w:rPr>
        <w:t>Wzór upoważnienia dla banku do przekazania informacji objętych tajemnicą bankową (w przypadku finansowania projektu kredytem bankowym).</w:t>
      </w:r>
    </w:p>
    <w:sectPr w:rsidR="001C5221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276" w:right="1418" w:bottom="1418" w:left="1418" w:header="568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CBC" w:rsidRDefault="003E2CBC">
      <w:r>
        <w:separator/>
      </w:r>
    </w:p>
  </w:endnote>
  <w:endnote w:type="continuationSeparator" w:id="0">
    <w:p w:rsidR="003E2CBC" w:rsidRDefault="003E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21" w:rsidRDefault="001C5221">
    <w:pPr>
      <w:pStyle w:val="Nagweki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21" w:rsidRDefault="001C5221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CBC" w:rsidRDefault="003E2CBC">
      <w:r>
        <w:separator/>
      </w:r>
    </w:p>
  </w:footnote>
  <w:footnote w:type="continuationSeparator" w:id="0">
    <w:p w:rsidR="003E2CBC" w:rsidRDefault="003E2CBC">
      <w:r>
        <w:continuationSeparator/>
      </w:r>
    </w:p>
  </w:footnote>
  <w:footnote w:type="continuationNotice" w:id="1">
    <w:p w:rsidR="003E2CBC" w:rsidRDefault="003E2CBC"/>
  </w:footnote>
  <w:footnote w:id="2">
    <w:p w:rsidR="001C5221" w:rsidRDefault="0078441F">
      <w:pPr>
        <w:pStyle w:val="Tekstprzypisudolnego"/>
        <w:spacing w:line="276" w:lineRule="auto"/>
      </w:pPr>
      <w:r>
        <w:rPr>
          <w:rStyle w:val="Brak"/>
          <w:rFonts w:ascii="Calibri" w:eastAsia="Calibri" w:hAnsi="Calibri" w:cs="Calibri"/>
          <w:vertAlign w:val="superscript"/>
        </w:rPr>
        <w:footnoteRef/>
      </w:r>
      <w:r>
        <w:rPr>
          <w:rStyle w:val="Brak"/>
          <w:rFonts w:ascii="Calibri" w:hAnsi="Calibri"/>
        </w:rPr>
        <w:t xml:space="preserve"> Wartość udzielonego dofinansowania będzie podlegała przeliczeniu według kursu średniego, ogłoszonego przez Narodowy Bank Polski, obowiązujący w dniu udzielenia pomocy.</w:t>
      </w:r>
    </w:p>
  </w:footnote>
  <w:footnote w:id="3">
    <w:p w:rsidR="001C5221" w:rsidRDefault="0078441F">
      <w:pPr>
        <w:pStyle w:val="Tekstprzypisudolnego"/>
        <w:ind w:left="142" w:hanging="142"/>
      </w:pPr>
      <w:r>
        <w:rPr>
          <w:rStyle w:val="Brak"/>
          <w:rFonts w:ascii="Calibri" w:eastAsia="Calibri" w:hAnsi="Calibri" w:cs="Calibri"/>
          <w:vertAlign w:val="superscript"/>
        </w:rPr>
        <w:footnoteRef/>
      </w:r>
      <w:r>
        <w:rPr>
          <w:rStyle w:val="Brak"/>
          <w:rFonts w:ascii="Calibri" w:hAnsi="Calibri"/>
          <w:vertAlign w:val="superscript"/>
        </w:rPr>
        <w:t xml:space="preserve"> </w:t>
      </w:r>
      <w:r>
        <w:rPr>
          <w:rStyle w:val="Brak"/>
          <w:rFonts w:ascii="Calibri" w:hAnsi="Calibri"/>
        </w:rPr>
        <w:t xml:space="preserve"> Przez „zezwolenie na inwestycję” należy rozumieć ostateczną decyzję budowlaną (pozwolenie na budowę albo decyzja o zezwoleniu na realizację inwestycji), ewentualnie inną decyzję administracyjną kończącą przygotowanie procesu inwestycyjnego (np. decyzję o środowiskowych uwarunkowaniach), jeżeli dla danego przedsięwzięcia przepisy prawa nie przewidują konieczności uzyskania pozwolenia na budowę.</w:t>
      </w:r>
    </w:p>
  </w:footnote>
  <w:footnote w:id="4">
    <w:p w:rsidR="001C5221" w:rsidRDefault="0078441F">
      <w:pPr>
        <w:pStyle w:val="Tekstprzypisudolnego"/>
      </w:pPr>
      <w:r>
        <w:rPr>
          <w:rStyle w:val="Brak"/>
          <w:rFonts w:ascii="Calibri" w:eastAsia="Calibri" w:hAnsi="Calibri" w:cs="Calibri"/>
          <w:vertAlign w:val="superscript"/>
        </w:rPr>
        <w:footnoteRef/>
      </w:r>
      <w:r>
        <w:rPr>
          <w:rStyle w:val="Brak"/>
          <w:rFonts w:ascii="Calibri" w:hAnsi="Calibri"/>
        </w:rPr>
        <w:t xml:space="preserve"> Odpowiednio do rodzaju umowy.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21" w:rsidRDefault="0078441F">
    <w:pPr>
      <w:pStyle w:val="Nagwek"/>
      <w:tabs>
        <w:tab w:val="clear" w:pos="9072"/>
        <w:tab w:val="right" w:pos="9044"/>
      </w:tabs>
      <w:jc w:val="right"/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40578A">
      <w:rPr>
        <w:rFonts w:ascii="Calibri" w:hAnsi="Calibri"/>
        <w:noProof/>
      </w:rPr>
      <w:t>21</w:t>
    </w:r>
    <w:r>
      <w:rPr>
        <w:rFonts w:ascii="Calibri" w:hAnsi="Calibri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21" w:rsidRDefault="001C5221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4498"/>
    <w:multiLevelType w:val="hybridMultilevel"/>
    <w:tmpl w:val="EFFE616A"/>
    <w:numStyleLink w:val="Zaimportowanystyl36"/>
  </w:abstractNum>
  <w:abstractNum w:abstractNumId="1" w15:restartNumberingAfterBreak="0">
    <w:nsid w:val="048A4A71"/>
    <w:multiLevelType w:val="hybridMultilevel"/>
    <w:tmpl w:val="FBC443D6"/>
    <w:numStyleLink w:val="Zaimportowanystyl13"/>
  </w:abstractNum>
  <w:abstractNum w:abstractNumId="2" w15:restartNumberingAfterBreak="0">
    <w:nsid w:val="06243933"/>
    <w:multiLevelType w:val="hybridMultilevel"/>
    <w:tmpl w:val="196CCE88"/>
    <w:numStyleLink w:val="Zaimportowanystyl2"/>
  </w:abstractNum>
  <w:abstractNum w:abstractNumId="3" w15:restartNumberingAfterBreak="0">
    <w:nsid w:val="06F10106"/>
    <w:multiLevelType w:val="hybridMultilevel"/>
    <w:tmpl w:val="F328C85A"/>
    <w:styleLink w:val="Zaimportowanystyl10"/>
    <w:lvl w:ilvl="0" w:tplc="ACC820E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C4DADC">
      <w:start w:val="1"/>
      <w:numFmt w:val="lowerLetter"/>
      <w:lvlText w:val="%2."/>
      <w:lvlJc w:val="left"/>
      <w:pPr>
        <w:tabs>
          <w:tab w:val="left" w:pos="851"/>
        </w:tabs>
        <w:ind w:left="1416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FC806E">
      <w:start w:val="1"/>
      <w:numFmt w:val="lowerRoman"/>
      <w:lvlText w:val="%3."/>
      <w:lvlJc w:val="left"/>
      <w:pPr>
        <w:tabs>
          <w:tab w:val="left" w:pos="851"/>
          <w:tab w:val="num" w:pos="2255"/>
        </w:tabs>
        <w:ind w:left="2124" w:hanging="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1A2458">
      <w:start w:val="1"/>
      <w:numFmt w:val="decimal"/>
      <w:lvlText w:val="%4."/>
      <w:lvlJc w:val="left"/>
      <w:pPr>
        <w:tabs>
          <w:tab w:val="left" w:pos="851"/>
          <w:tab w:val="num" w:pos="2963"/>
        </w:tabs>
        <w:ind w:left="2832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5657A0">
      <w:start w:val="1"/>
      <w:numFmt w:val="lowerLetter"/>
      <w:lvlText w:val="%5."/>
      <w:lvlJc w:val="left"/>
      <w:pPr>
        <w:tabs>
          <w:tab w:val="left" w:pos="851"/>
          <w:tab w:val="num" w:pos="3671"/>
        </w:tabs>
        <w:ind w:left="3540" w:hanging="1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2481F2">
      <w:start w:val="1"/>
      <w:numFmt w:val="lowerRoman"/>
      <w:lvlText w:val="%6."/>
      <w:lvlJc w:val="left"/>
      <w:pPr>
        <w:tabs>
          <w:tab w:val="left" w:pos="851"/>
          <w:tab w:val="num" w:pos="4379"/>
        </w:tabs>
        <w:ind w:left="4248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AED914">
      <w:start w:val="1"/>
      <w:numFmt w:val="decimal"/>
      <w:lvlText w:val="%7."/>
      <w:lvlJc w:val="left"/>
      <w:pPr>
        <w:tabs>
          <w:tab w:val="left" w:pos="851"/>
          <w:tab w:val="num" w:pos="5087"/>
        </w:tabs>
        <w:ind w:left="4956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2826BA">
      <w:start w:val="1"/>
      <w:numFmt w:val="lowerLetter"/>
      <w:lvlText w:val="%8."/>
      <w:lvlJc w:val="left"/>
      <w:pPr>
        <w:tabs>
          <w:tab w:val="left" w:pos="851"/>
          <w:tab w:val="num" w:pos="5795"/>
        </w:tabs>
        <w:ind w:left="5664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B0FACE">
      <w:start w:val="1"/>
      <w:numFmt w:val="lowerRoman"/>
      <w:lvlText w:val="%9."/>
      <w:lvlJc w:val="left"/>
      <w:pPr>
        <w:tabs>
          <w:tab w:val="left" w:pos="851"/>
          <w:tab w:val="num" w:pos="6503"/>
        </w:tabs>
        <w:ind w:left="6372" w:hanging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382C5D"/>
    <w:multiLevelType w:val="hybridMultilevel"/>
    <w:tmpl w:val="CC042A58"/>
    <w:numStyleLink w:val="Zaimportowanystyl39"/>
  </w:abstractNum>
  <w:abstractNum w:abstractNumId="5" w15:restartNumberingAfterBreak="0">
    <w:nsid w:val="08C77B67"/>
    <w:multiLevelType w:val="hybridMultilevel"/>
    <w:tmpl w:val="FBC443D6"/>
    <w:styleLink w:val="Zaimportowanystyl13"/>
    <w:lvl w:ilvl="0" w:tplc="DB42FDF6">
      <w:start w:val="1"/>
      <w:numFmt w:val="lowerLetter"/>
      <w:lvlText w:val="%1)"/>
      <w:lvlJc w:val="left"/>
      <w:pPr>
        <w:ind w:left="141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70F958">
      <w:start w:val="1"/>
      <w:numFmt w:val="lowerLetter"/>
      <w:lvlText w:val="%2."/>
      <w:lvlJc w:val="left"/>
      <w:pPr>
        <w:ind w:left="1780" w:hanging="36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5E098E">
      <w:start w:val="1"/>
      <w:numFmt w:val="lowerRoman"/>
      <w:lvlText w:val="%3."/>
      <w:lvlJc w:val="left"/>
      <w:pPr>
        <w:ind w:left="2500" w:hanging="31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58615E">
      <w:start w:val="1"/>
      <w:numFmt w:val="decimal"/>
      <w:lvlText w:val="%4."/>
      <w:lvlJc w:val="left"/>
      <w:pPr>
        <w:ind w:left="3220" w:hanging="36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B76CDAE">
      <w:start w:val="1"/>
      <w:numFmt w:val="lowerLetter"/>
      <w:lvlText w:val="%5."/>
      <w:lvlJc w:val="left"/>
      <w:pPr>
        <w:ind w:left="3940" w:hanging="36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10C0CA">
      <w:start w:val="1"/>
      <w:numFmt w:val="lowerRoman"/>
      <w:lvlText w:val="%6."/>
      <w:lvlJc w:val="left"/>
      <w:pPr>
        <w:ind w:left="4660" w:hanging="31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9674AC">
      <w:start w:val="1"/>
      <w:numFmt w:val="decimal"/>
      <w:lvlText w:val="%7."/>
      <w:lvlJc w:val="left"/>
      <w:pPr>
        <w:ind w:left="5380" w:hanging="36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C4BE50">
      <w:start w:val="1"/>
      <w:numFmt w:val="lowerLetter"/>
      <w:lvlText w:val="%8."/>
      <w:lvlJc w:val="left"/>
      <w:pPr>
        <w:ind w:left="6100" w:hanging="36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EA8874">
      <w:start w:val="1"/>
      <w:numFmt w:val="lowerRoman"/>
      <w:lvlText w:val="%9."/>
      <w:lvlJc w:val="left"/>
      <w:pPr>
        <w:ind w:left="6820" w:hanging="31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144C79"/>
    <w:multiLevelType w:val="hybridMultilevel"/>
    <w:tmpl w:val="E452D1AA"/>
    <w:styleLink w:val="Zaimportowanystyl34"/>
    <w:lvl w:ilvl="0" w:tplc="F1365108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82FF9E">
      <w:start w:val="1"/>
      <w:numFmt w:val="lowerLetter"/>
      <w:lvlText w:val="%2."/>
      <w:lvlJc w:val="left"/>
      <w:pPr>
        <w:ind w:left="122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CC937C">
      <w:start w:val="1"/>
      <w:numFmt w:val="lowerRoman"/>
      <w:lvlText w:val="%3."/>
      <w:lvlJc w:val="left"/>
      <w:pPr>
        <w:ind w:left="1942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D8A15C">
      <w:start w:val="1"/>
      <w:numFmt w:val="decimal"/>
      <w:lvlText w:val="%4."/>
      <w:lvlJc w:val="left"/>
      <w:pPr>
        <w:ind w:left="266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06412E">
      <w:start w:val="1"/>
      <w:numFmt w:val="lowerLetter"/>
      <w:lvlText w:val="%5."/>
      <w:lvlJc w:val="left"/>
      <w:pPr>
        <w:ind w:left="338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C217D0">
      <w:start w:val="1"/>
      <w:numFmt w:val="lowerRoman"/>
      <w:lvlText w:val="%6."/>
      <w:lvlJc w:val="left"/>
      <w:pPr>
        <w:ind w:left="4102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81700">
      <w:start w:val="1"/>
      <w:numFmt w:val="decimal"/>
      <w:lvlText w:val="%7."/>
      <w:lvlJc w:val="left"/>
      <w:pPr>
        <w:ind w:left="482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6E7D18">
      <w:start w:val="1"/>
      <w:numFmt w:val="lowerLetter"/>
      <w:lvlText w:val="%8."/>
      <w:lvlJc w:val="left"/>
      <w:pPr>
        <w:ind w:left="554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BA8410">
      <w:start w:val="1"/>
      <w:numFmt w:val="lowerRoman"/>
      <w:lvlText w:val="%9."/>
      <w:lvlJc w:val="left"/>
      <w:pPr>
        <w:ind w:left="6262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11D457D"/>
    <w:multiLevelType w:val="hybridMultilevel"/>
    <w:tmpl w:val="40D4559A"/>
    <w:numStyleLink w:val="Zaimportowanystyl26"/>
  </w:abstractNum>
  <w:abstractNum w:abstractNumId="8" w15:restartNumberingAfterBreak="0">
    <w:nsid w:val="159D52BD"/>
    <w:multiLevelType w:val="hybridMultilevel"/>
    <w:tmpl w:val="3614250A"/>
    <w:numStyleLink w:val="Zaimportowanystyl8"/>
  </w:abstractNum>
  <w:abstractNum w:abstractNumId="9" w15:restartNumberingAfterBreak="0">
    <w:nsid w:val="15A35579"/>
    <w:multiLevelType w:val="hybridMultilevel"/>
    <w:tmpl w:val="B9EAC458"/>
    <w:styleLink w:val="Zaimportowanystyl24"/>
    <w:lvl w:ilvl="0" w:tplc="092E8AD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C266FA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6ADC22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CFA3C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387C4A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26A6A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0EDCE8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0C6D22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E0F676">
      <w:start w:val="1"/>
      <w:numFmt w:val="lowerRoman"/>
      <w:lvlText w:val="%9."/>
      <w:lvlJc w:val="left"/>
      <w:pPr>
        <w:ind w:left="6372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5DB1F26"/>
    <w:multiLevelType w:val="hybridMultilevel"/>
    <w:tmpl w:val="4F944212"/>
    <w:numStyleLink w:val="Zaimportowanystyl19"/>
  </w:abstractNum>
  <w:abstractNum w:abstractNumId="11" w15:restartNumberingAfterBreak="0">
    <w:nsid w:val="16A74B52"/>
    <w:multiLevelType w:val="hybridMultilevel"/>
    <w:tmpl w:val="4C2CA250"/>
    <w:lvl w:ilvl="0" w:tplc="04150011">
      <w:start w:val="1"/>
      <w:numFmt w:val="decimal"/>
      <w:lvlText w:val="%1)"/>
      <w:lvlJc w:val="left"/>
      <w:pPr>
        <w:ind w:left="1225" w:hanging="360"/>
      </w:pPr>
    </w:lvl>
    <w:lvl w:ilvl="1" w:tplc="04150019" w:tentative="1">
      <w:start w:val="1"/>
      <w:numFmt w:val="lowerLetter"/>
      <w:lvlText w:val="%2."/>
      <w:lvlJc w:val="left"/>
      <w:pPr>
        <w:ind w:left="1945" w:hanging="360"/>
      </w:pPr>
    </w:lvl>
    <w:lvl w:ilvl="2" w:tplc="0415001B" w:tentative="1">
      <w:start w:val="1"/>
      <w:numFmt w:val="lowerRoman"/>
      <w:lvlText w:val="%3."/>
      <w:lvlJc w:val="right"/>
      <w:pPr>
        <w:ind w:left="2665" w:hanging="180"/>
      </w:pPr>
    </w:lvl>
    <w:lvl w:ilvl="3" w:tplc="0415000F" w:tentative="1">
      <w:start w:val="1"/>
      <w:numFmt w:val="decimal"/>
      <w:lvlText w:val="%4."/>
      <w:lvlJc w:val="left"/>
      <w:pPr>
        <w:ind w:left="3385" w:hanging="360"/>
      </w:pPr>
    </w:lvl>
    <w:lvl w:ilvl="4" w:tplc="04150019" w:tentative="1">
      <w:start w:val="1"/>
      <w:numFmt w:val="lowerLetter"/>
      <w:lvlText w:val="%5."/>
      <w:lvlJc w:val="left"/>
      <w:pPr>
        <w:ind w:left="4105" w:hanging="360"/>
      </w:pPr>
    </w:lvl>
    <w:lvl w:ilvl="5" w:tplc="0415001B" w:tentative="1">
      <w:start w:val="1"/>
      <w:numFmt w:val="lowerRoman"/>
      <w:lvlText w:val="%6."/>
      <w:lvlJc w:val="right"/>
      <w:pPr>
        <w:ind w:left="4825" w:hanging="180"/>
      </w:pPr>
    </w:lvl>
    <w:lvl w:ilvl="6" w:tplc="0415000F" w:tentative="1">
      <w:start w:val="1"/>
      <w:numFmt w:val="decimal"/>
      <w:lvlText w:val="%7."/>
      <w:lvlJc w:val="left"/>
      <w:pPr>
        <w:ind w:left="5545" w:hanging="360"/>
      </w:pPr>
    </w:lvl>
    <w:lvl w:ilvl="7" w:tplc="04150019" w:tentative="1">
      <w:start w:val="1"/>
      <w:numFmt w:val="lowerLetter"/>
      <w:lvlText w:val="%8."/>
      <w:lvlJc w:val="left"/>
      <w:pPr>
        <w:ind w:left="6265" w:hanging="360"/>
      </w:pPr>
    </w:lvl>
    <w:lvl w:ilvl="8" w:tplc="0415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2" w15:restartNumberingAfterBreak="0">
    <w:nsid w:val="16BE1F3F"/>
    <w:multiLevelType w:val="hybridMultilevel"/>
    <w:tmpl w:val="470AB24C"/>
    <w:numStyleLink w:val="Zaimportowanystyl28"/>
  </w:abstractNum>
  <w:abstractNum w:abstractNumId="13" w15:restartNumberingAfterBreak="0">
    <w:nsid w:val="16F84A33"/>
    <w:multiLevelType w:val="hybridMultilevel"/>
    <w:tmpl w:val="C11E44E2"/>
    <w:numStyleLink w:val="Zaimportowanystyl21"/>
  </w:abstractNum>
  <w:abstractNum w:abstractNumId="14" w15:restartNumberingAfterBreak="0">
    <w:nsid w:val="1A974BD2"/>
    <w:multiLevelType w:val="hybridMultilevel"/>
    <w:tmpl w:val="79E2690C"/>
    <w:numStyleLink w:val="Zaimportowanystyl15"/>
  </w:abstractNum>
  <w:abstractNum w:abstractNumId="15" w15:restartNumberingAfterBreak="0">
    <w:nsid w:val="1B8A41B4"/>
    <w:multiLevelType w:val="hybridMultilevel"/>
    <w:tmpl w:val="D3FACDDA"/>
    <w:styleLink w:val="Zaimportowanystyl4"/>
    <w:lvl w:ilvl="0" w:tplc="D5F0E27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D66DB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4E252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D670C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28215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BA584C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88890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7AA3E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58A0BA">
      <w:start w:val="1"/>
      <w:numFmt w:val="lowerRoman"/>
      <w:lvlText w:val="%9."/>
      <w:lvlJc w:val="left"/>
      <w:pPr>
        <w:tabs>
          <w:tab w:val="num" w:pos="6372"/>
        </w:tabs>
        <w:ind w:left="6384" w:hanging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BEC6298"/>
    <w:multiLevelType w:val="hybridMultilevel"/>
    <w:tmpl w:val="7C36819A"/>
    <w:styleLink w:val="Zaimportowanystyl37"/>
    <w:lvl w:ilvl="0" w:tplc="8A0C88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3A0F5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9055E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BCAB3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00519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C6B5CA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946FE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FA0AE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5AF944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CD55250"/>
    <w:multiLevelType w:val="hybridMultilevel"/>
    <w:tmpl w:val="79E2690C"/>
    <w:styleLink w:val="Zaimportowanystyl15"/>
    <w:lvl w:ilvl="0" w:tplc="79E2690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A48C74">
      <w:start w:val="1"/>
      <w:numFmt w:val="decimal"/>
      <w:lvlText w:val="%2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92E368">
      <w:start w:val="1"/>
      <w:numFmt w:val="decimal"/>
      <w:lvlText w:val="%3)"/>
      <w:lvlJc w:val="left"/>
      <w:pPr>
        <w:ind w:left="1417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833B0">
      <w:start w:val="1"/>
      <w:numFmt w:val="decimal"/>
      <w:lvlText w:val="%4."/>
      <w:lvlJc w:val="left"/>
      <w:pPr>
        <w:ind w:left="2125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68E2D4">
      <w:start w:val="1"/>
      <w:numFmt w:val="lowerLetter"/>
      <w:lvlText w:val="%5."/>
      <w:lvlJc w:val="left"/>
      <w:pPr>
        <w:ind w:left="2833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E07C76">
      <w:start w:val="1"/>
      <w:numFmt w:val="lowerRoman"/>
      <w:lvlText w:val="%6."/>
      <w:lvlJc w:val="left"/>
      <w:pPr>
        <w:ind w:left="3541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6614A4">
      <w:start w:val="1"/>
      <w:numFmt w:val="decimal"/>
      <w:lvlText w:val="%7."/>
      <w:lvlJc w:val="left"/>
      <w:pPr>
        <w:ind w:left="424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D2D2A2">
      <w:start w:val="1"/>
      <w:numFmt w:val="lowerLetter"/>
      <w:lvlText w:val="%8."/>
      <w:lvlJc w:val="left"/>
      <w:pPr>
        <w:ind w:left="4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305F2C">
      <w:start w:val="1"/>
      <w:numFmt w:val="lowerRoman"/>
      <w:lvlText w:val="%9."/>
      <w:lvlJc w:val="left"/>
      <w:pPr>
        <w:ind w:left="5665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D7B404C"/>
    <w:multiLevelType w:val="hybridMultilevel"/>
    <w:tmpl w:val="D2DAA28A"/>
    <w:styleLink w:val="Zaimportowanystyl22"/>
    <w:lvl w:ilvl="0" w:tplc="F684B0D6">
      <w:start w:val="1"/>
      <w:numFmt w:val="decimal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1EE312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4904E">
      <w:start w:val="1"/>
      <w:numFmt w:val="lowerRoman"/>
      <w:lvlText w:val="%3."/>
      <w:lvlJc w:val="left"/>
      <w:pPr>
        <w:ind w:left="25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EEC3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FAC314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86BE42">
      <w:start w:val="1"/>
      <w:numFmt w:val="lowerRoman"/>
      <w:lvlText w:val="%6."/>
      <w:lvlJc w:val="left"/>
      <w:pPr>
        <w:ind w:left="474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D2C5AA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8AACC8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C3708">
      <w:start w:val="1"/>
      <w:numFmt w:val="lowerRoman"/>
      <w:lvlText w:val="%9."/>
      <w:lvlJc w:val="left"/>
      <w:pPr>
        <w:ind w:left="690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DAB730C"/>
    <w:multiLevelType w:val="hybridMultilevel"/>
    <w:tmpl w:val="C5B093C4"/>
    <w:numStyleLink w:val="Zaimportowanystyl18"/>
  </w:abstractNum>
  <w:abstractNum w:abstractNumId="20" w15:restartNumberingAfterBreak="0">
    <w:nsid w:val="1DD53C37"/>
    <w:multiLevelType w:val="hybridMultilevel"/>
    <w:tmpl w:val="A52E4768"/>
    <w:styleLink w:val="Zaimportowanystyl7"/>
    <w:lvl w:ilvl="0" w:tplc="B2CA9FA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E21E3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BCA3DA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44E41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2C320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0E35E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0E14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766ED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1CDE28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E84681D"/>
    <w:multiLevelType w:val="hybridMultilevel"/>
    <w:tmpl w:val="C46C19B4"/>
    <w:styleLink w:val="Zaimportowanystyl20"/>
    <w:lvl w:ilvl="0" w:tplc="846EDD54">
      <w:start w:val="1"/>
      <w:numFmt w:val="decimal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2E044A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AAE1D0">
      <w:start w:val="1"/>
      <w:numFmt w:val="lowerRoman"/>
      <w:lvlText w:val="%3."/>
      <w:lvlJc w:val="left"/>
      <w:pPr>
        <w:ind w:left="25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A7CE8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8C5E36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646FE6">
      <w:start w:val="1"/>
      <w:numFmt w:val="lowerRoman"/>
      <w:lvlText w:val="%6."/>
      <w:lvlJc w:val="left"/>
      <w:pPr>
        <w:ind w:left="474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B89710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AE71F6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4E817E">
      <w:start w:val="1"/>
      <w:numFmt w:val="lowerRoman"/>
      <w:lvlText w:val="%9."/>
      <w:lvlJc w:val="left"/>
      <w:pPr>
        <w:ind w:left="690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01C7A1E"/>
    <w:multiLevelType w:val="hybridMultilevel"/>
    <w:tmpl w:val="312265DC"/>
    <w:styleLink w:val="Zaimportowanystyl11"/>
    <w:lvl w:ilvl="0" w:tplc="0EA65F32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723CF0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86E3D2">
      <w:start w:val="1"/>
      <w:numFmt w:val="lowerRoman"/>
      <w:lvlText w:val="%3."/>
      <w:lvlJc w:val="left"/>
      <w:pPr>
        <w:ind w:left="252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8C6950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C4B72A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5AB276">
      <w:start w:val="1"/>
      <w:numFmt w:val="lowerRoman"/>
      <w:lvlText w:val="%6."/>
      <w:lvlJc w:val="left"/>
      <w:pPr>
        <w:ind w:left="468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1096B0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2ADA4A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86316E">
      <w:start w:val="1"/>
      <w:numFmt w:val="lowerRoman"/>
      <w:lvlText w:val="%9."/>
      <w:lvlJc w:val="left"/>
      <w:pPr>
        <w:ind w:left="684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5252632"/>
    <w:multiLevelType w:val="hybridMultilevel"/>
    <w:tmpl w:val="9CA2A160"/>
    <w:lvl w:ilvl="0" w:tplc="F1889C40">
      <w:start w:val="1"/>
      <w:numFmt w:val="decimal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A204D4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84824">
      <w:start w:val="1"/>
      <w:numFmt w:val="lowerRoman"/>
      <w:lvlText w:val="%3."/>
      <w:lvlJc w:val="left"/>
      <w:pPr>
        <w:ind w:left="25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409CA2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0E1A0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C6DF98">
      <w:start w:val="1"/>
      <w:numFmt w:val="lowerRoman"/>
      <w:lvlText w:val="%6."/>
      <w:lvlJc w:val="left"/>
      <w:pPr>
        <w:ind w:left="474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0E7FA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83A7E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088150">
      <w:start w:val="1"/>
      <w:numFmt w:val="lowerRoman"/>
      <w:lvlText w:val="%9."/>
      <w:lvlJc w:val="left"/>
      <w:pPr>
        <w:ind w:left="690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55D14F0"/>
    <w:multiLevelType w:val="hybridMultilevel"/>
    <w:tmpl w:val="C3DC88A8"/>
    <w:styleLink w:val="Zaimportowanystyl33"/>
    <w:lvl w:ilvl="0" w:tplc="047EBDE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F8970C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AAFC48">
      <w:start w:val="1"/>
      <w:numFmt w:val="lowerRoman"/>
      <w:lvlText w:val="%3."/>
      <w:lvlJc w:val="left"/>
      <w:pPr>
        <w:ind w:left="1942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449DD4">
      <w:start w:val="1"/>
      <w:numFmt w:val="decimal"/>
      <w:lvlText w:val="%4."/>
      <w:lvlJc w:val="left"/>
      <w:pPr>
        <w:ind w:left="26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401050">
      <w:start w:val="1"/>
      <w:numFmt w:val="lowerLetter"/>
      <w:lvlText w:val="%5."/>
      <w:lvlJc w:val="left"/>
      <w:pPr>
        <w:ind w:left="338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808436">
      <w:start w:val="1"/>
      <w:numFmt w:val="lowerRoman"/>
      <w:lvlText w:val="%6."/>
      <w:lvlJc w:val="left"/>
      <w:pPr>
        <w:ind w:left="4102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85EF0">
      <w:start w:val="1"/>
      <w:numFmt w:val="decimal"/>
      <w:lvlText w:val="%7."/>
      <w:lvlJc w:val="left"/>
      <w:pPr>
        <w:ind w:left="482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A216DE">
      <w:start w:val="1"/>
      <w:numFmt w:val="lowerLetter"/>
      <w:lvlText w:val="%8."/>
      <w:lvlJc w:val="left"/>
      <w:pPr>
        <w:ind w:left="554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904F70">
      <w:start w:val="1"/>
      <w:numFmt w:val="lowerRoman"/>
      <w:lvlText w:val="%9."/>
      <w:lvlJc w:val="left"/>
      <w:pPr>
        <w:ind w:left="6262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55F7610"/>
    <w:multiLevelType w:val="hybridMultilevel"/>
    <w:tmpl w:val="470AB24C"/>
    <w:styleLink w:val="Zaimportowanystyl28"/>
    <w:lvl w:ilvl="0" w:tplc="AAA618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38C82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343BC6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06EAAA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184EE0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883C42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0CA62C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6728C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C8BB74">
      <w:start w:val="1"/>
      <w:numFmt w:val="lowerRoman"/>
      <w:lvlText w:val="%9."/>
      <w:lvlJc w:val="left"/>
      <w:pPr>
        <w:ind w:left="6372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59622E4"/>
    <w:multiLevelType w:val="hybridMultilevel"/>
    <w:tmpl w:val="E0BC3FF0"/>
    <w:numStyleLink w:val="Zaimportowanystyl14"/>
  </w:abstractNum>
  <w:abstractNum w:abstractNumId="27" w15:restartNumberingAfterBreak="0">
    <w:nsid w:val="25B53DD1"/>
    <w:multiLevelType w:val="hybridMultilevel"/>
    <w:tmpl w:val="F328C85A"/>
    <w:numStyleLink w:val="Zaimportowanystyl10"/>
  </w:abstractNum>
  <w:abstractNum w:abstractNumId="28" w15:restartNumberingAfterBreak="0">
    <w:nsid w:val="297A6269"/>
    <w:multiLevelType w:val="hybridMultilevel"/>
    <w:tmpl w:val="01789288"/>
    <w:numStyleLink w:val="Zaimportowanystyl3"/>
  </w:abstractNum>
  <w:abstractNum w:abstractNumId="29" w15:restartNumberingAfterBreak="0">
    <w:nsid w:val="2A7F7340"/>
    <w:multiLevelType w:val="hybridMultilevel"/>
    <w:tmpl w:val="4F944212"/>
    <w:styleLink w:val="Zaimportowanystyl19"/>
    <w:lvl w:ilvl="0" w:tplc="FB42C05C">
      <w:start w:val="1"/>
      <w:numFmt w:val="decimal"/>
      <w:lvlText w:val="%1)"/>
      <w:lvlJc w:val="left"/>
      <w:pPr>
        <w:ind w:left="71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10BC08">
      <w:start w:val="1"/>
      <w:numFmt w:val="decimal"/>
      <w:lvlText w:val="%2)"/>
      <w:lvlJc w:val="left"/>
      <w:pPr>
        <w:ind w:left="14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29CCC">
      <w:start w:val="1"/>
      <w:numFmt w:val="lowerLetter"/>
      <w:lvlText w:val="%3)"/>
      <w:lvlJc w:val="left"/>
      <w:pPr>
        <w:ind w:left="141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E0B78C">
      <w:start w:val="1"/>
      <w:numFmt w:val="decimal"/>
      <w:lvlText w:val="%4."/>
      <w:lvlJc w:val="left"/>
      <w:pPr>
        <w:ind w:left="2126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07240">
      <w:start w:val="1"/>
      <w:numFmt w:val="lowerLetter"/>
      <w:lvlText w:val="%5."/>
      <w:lvlJc w:val="left"/>
      <w:pPr>
        <w:ind w:left="2834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0AA7C">
      <w:start w:val="1"/>
      <w:numFmt w:val="lowerRoman"/>
      <w:lvlText w:val="%6."/>
      <w:lvlJc w:val="left"/>
      <w:pPr>
        <w:ind w:left="3542" w:hanging="5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CAE4F8">
      <w:start w:val="1"/>
      <w:numFmt w:val="decimal"/>
      <w:lvlText w:val="%7."/>
      <w:lvlJc w:val="left"/>
      <w:pPr>
        <w:ind w:left="4250" w:hanging="5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D204D8">
      <w:start w:val="1"/>
      <w:numFmt w:val="lowerLetter"/>
      <w:lvlText w:val="%8."/>
      <w:lvlJc w:val="left"/>
      <w:pPr>
        <w:ind w:left="4958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CC37C8">
      <w:start w:val="1"/>
      <w:numFmt w:val="lowerRoman"/>
      <w:lvlText w:val="%9."/>
      <w:lvlJc w:val="left"/>
      <w:pPr>
        <w:ind w:left="5666" w:hanging="4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AC169B2"/>
    <w:multiLevelType w:val="hybridMultilevel"/>
    <w:tmpl w:val="3614250A"/>
    <w:styleLink w:val="Zaimportowanystyl8"/>
    <w:lvl w:ilvl="0" w:tplc="6F64C2AC">
      <w:start w:val="1"/>
      <w:numFmt w:val="decimal"/>
      <w:lvlText w:val="%1)"/>
      <w:lvlJc w:val="left"/>
      <w:pPr>
        <w:tabs>
          <w:tab w:val="num" w:pos="708"/>
        </w:tabs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AA1766">
      <w:start w:val="1"/>
      <w:numFmt w:val="lowerLetter"/>
      <w:lvlText w:val="%2."/>
      <w:lvlJc w:val="left"/>
      <w:pPr>
        <w:tabs>
          <w:tab w:val="num" w:pos="1416"/>
        </w:tabs>
        <w:ind w:left="1493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9E97E6">
      <w:start w:val="1"/>
      <w:numFmt w:val="lowerRoman"/>
      <w:lvlText w:val="%3."/>
      <w:lvlJc w:val="left"/>
      <w:pPr>
        <w:tabs>
          <w:tab w:val="num" w:pos="2124"/>
        </w:tabs>
        <w:ind w:left="220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446F48">
      <w:start w:val="1"/>
      <w:numFmt w:val="decimal"/>
      <w:lvlText w:val="%4."/>
      <w:lvlJc w:val="left"/>
      <w:pPr>
        <w:tabs>
          <w:tab w:val="num" w:pos="2832"/>
        </w:tabs>
        <w:ind w:left="2909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1E7FCC">
      <w:start w:val="1"/>
      <w:numFmt w:val="lowerLetter"/>
      <w:lvlText w:val="%5."/>
      <w:lvlJc w:val="left"/>
      <w:pPr>
        <w:tabs>
          <w:tab w:val="num" w:pos="3540"/>
        </w:tabs>
        <w:ind w:left="3617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8C00">
      <w:start w:val="1"/>
      <w:numFmt w:val="lowerRoman"/>
      <w:suff w:val="nothing"/>
      <w:lvlText w:val="%6."/>
      <w:lvlJc w:val="left"/>
      <w:pPr>
        <w:ind w:left="4325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3A02B4">
      <w:start w:val="1"/>
      <w:numFmt w:val="decimal"/>
      <w:lvlText w:val="%7."/>
      <w:lvlJc w:val="left"/>
      <w:pPr>
        <w:tabs>
          <w:tab w:val="num" w:pos="4956"/>
        </w:tabs>
        <w:ind w:left="5033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144E22">
      <w:start w:val="1"/>
      <w:numFmt w:val="lowerLetter"/>
      <w:lvlText w:val="%8."/>
      <w:lvlJc w:val="left"/>
      <w:pPr>
        <w:tabs>
          <w:tab w:val="num" w:pos="5664"/>
        </w:tabs>
        <w:ind w:left="5741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660A76">
      <w:start w:val="1"/>
      <w:numFmt w:val="lowerRoman"/>
      <w:suff w:val="nothing"/>
      <w:lvlText w:val="%9."/>
      <w:lvlJc w:val="left"/>
      <w:pPr>
        <w:ind w:left="6449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BA647D1"/>
    <w:multiLevelType w:val="hybridMultilevel"/>
    <w:tmpl w:val="1F8CADEA"/>
    <w:numStyleLink w:val="Zaimportowanystyl30"/>
  </w:abstractNum>
  <w:abstractNum w:abstractNumId="32" w15:restartNumberingAfterBreak="0">
    <w:nsid w:val="2D4038B7"/>
    <w:multiLevelType w:val="hybridMultilevel"/>
    <w:tmpl w:val="26840E58"/>
    <w:styleLink w:val="Zaimportowanystyl29"/>
    <w:lvl w:ilvl="0" w:tplc="85047446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6B35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146754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404C8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8602B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C6FEDE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00629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6FF8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AAFD98">
      <w:start w:val="1"/>
      <w:numFmt w:val="lowerRoman"/>
      <w:lvlText w:val="%9."/>
      <w:lvlJc w:val="left"/>
      <w:pPr>
        <w:tabs>
          <w:tab w:val="num" w:pos="6372"/>
        </w:tabs>
        <w:ind w:left="6384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EB229A4"/>
    <w:multiLevelType w:val="hybridMultilevel"/>
    <w:tmpl w:val="40D4559A"/>
    <w:styleLink w:val="Zaimportowanystyl26"/>
    <w:lvl w:ilvl="0" w:tplc="7E3A1FAC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96DFDA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68440A">
      <w:start w:val="1"/>
      <w:numFmt w:val="lowerRoman"/>
      <w:lvlText w:val="%3."/>
      <w:lvlJc w:val="left"/>
      <w:pPr>
        <w:ind w:left="1942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9C02F4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CC21C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84D3B4">
      <w:start w:val="1"/>
      <w:numFmt w:val="lowerRoman"/>
      <w:lvlText w:val="%6."/>
      <w:lvlJc w:val="left"/>
      <w:pPr>
        <w:ind w:left="4102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AEB16A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46B60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AED6DC">
      <w:start w:val="1"/>
      <w:numFmt w:val="lowerRoman"/>
      <w:lvlText w:val="%9."/>
      <w:lvlJc w:val="left"/>
      <w:pPr>
        <w:ind w:left="6262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EE677D2"/>
    <w:multiLevelType w:val="hybridMultilevel"/>
    <w:tmpl w:val="D0E0C5C8"/>
    <w:styleLink w:val="Zaimportowanystyl25"/>
    <w:lvl w:ilvl="0" w:tplc="D0E0C5C8">
      <w:start w:val="1"/>
      <w:numFmt w:val="decimal"/>
      <w:lvlText w:val="%1."/>
      <w:lvlJc w:val="left"/>
      <w:pPr>
        <w:ind w:left="36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4C0C2">
      <w:start w:val="1"/>
      <w:numFmt w:val="decimal"/>
      <w:lvlText w:val="%2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40F460">
      <w:start w:val="1"/>
      <w:numFmt w:val="lowerRoman"/>
      <w:lvlText w:val="%3."/>
      <w:lvlJc w:val="left"/>
      <w:pPr>
        <w:ind w:left="1417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6411E">
      <w:start w:val="1"/>
      <w:numFmt w:val="decimal"/>
      <w:lvlText w:val="%4."/>
      <w:lvlJc w:val="left"/>
      <w:pPr>
        <w:ind w:left="2125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42A58">
      <w:start w:val="1"/>
      <w:numFmt w:val="lowerLetter"/>
      <w:lvlText w:val="%5."/>
      <w:lvlJc w:val="left"/>
      <w:pPr>
        <w:ind w:left="2833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4A7486">
      <w:start w:val="1"/>
      <w:numFmt w:val="lowerRoman"/>
      <w:lvlText w:val="%6."/>
      <w:lvlJc w:val="left"/>
      <w:pPr>
        <w:ind w:left="3541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9E157A">
      <w:start w:val="1"/>
      <w:numFmt w:val="decimal"/>
      <w:lvlText w:val="%7."/>
      <w:lvlJc w:val="left"/>
      <w:pPr>
        <w:ind w:left="424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9ED9AE">
      <w:start w:val="1"/>
      <w:numFmt w:val="lowerLetter"/>
      <w:lvlText w:val="%8."/>
      <w:lvlJc w:val="left"/>
      <w:pPr>
        <w:ind w:left="4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68CC4C">
      <w:start w:val="1"/>
      <w:numFmt w:val="lowerRoman"/>
      <w:lvlText w:val="%9."/>
      <w:lvlJc w:val="left"/>
      <w:pPr>
        <w:ind w:left="5665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0C35948"/>
    <w:multiLevelType w:val="hybridMultilevel"/>
    <w:tmpl w:val="5D3E6DB4"/>
    <w:numStyleLink w:val="Zaimportowanystyl17"/>
  </w:abstractNum>
  <w:abstractNum w:abstractNumId="36" w15:restartNumberingAfterBreak="0">
    <w:nsid w:val="32A50FD0"/>
    <w:multiLevelType w:val="hybridMultilevel"/>
    <w:tmpl w:val="312265DC"/>
    <w:numStyleLink w:val="Zaimportowanystyl11"/>
  </w:abstractNum>
  <w:abstractNum w:abstractNumId="37" w15:restartNumberingAfterBreak="0">
    <w:nsid w:val="33243422"/>
    <w:multiLevelType w:val="hybridMultilevel"/>
    <w:tmpl w:val="97563CC8"/>
    <w:styleLink w:val="Zaimportowanystyl5"/>
    <w:lvl w:ilvl="0" w:tplc="5434C224">
      <w:start w:val="1"/>
      <w:numFmt w:val="decimal"/>
      <w:lvlText w:val="%1)"/>
      <w:lvlJc w:val="left"/>
      <w:pPr>
        <w:tabs>
          <w:tab w:val="num" w:pos="70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06C338">
      <w:start w:val="1"/>
      <w:numFmt w:val="lowerLetter"/>
      <w:lvlText w:val="%2."/>
      <w:lvlJc w:val="left"/>
      <w:pPr>
        <w:tabs>
          <w:tab w:val="num" w:pos="1416"/>
        </w:tabs>
        <w:ind w:left="142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60B078">
      <w:start w:val="1"/>
      <w:numFmt w:val="lowerRoman"/>
      <w:lvlText w:val="%3."/>
      <w:lvlJc w:val="left"/>
      <w:pPr>
        <w:tabs>
          <w:tab w:val="num" w:pos="2124"/>
        </w:tabs>
        <w:ind w:left="2136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426294">
      <w:start w:val="1"/>
      <w:numFmt w:val="decimal"/>
      <w:lvlText w:val="%4."/>
      <w:lvlJc w:val="left"/>
      <w:pPr>
        <w:tabs>
          <w:tab w:val="num" w:pos="2832"/>
        </w:tabs>
        <w:ind w:left="28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C26B12">
      <w:start w:val="1"/>
      <w:numFmt w:val="lowerLetter"/>
      <w:lvlText w:val="%5."/>
      <w:lvlJc w:val="left"/>
      <w:pPr>
        <w:tabs>
          <w:tab w:val="num" w:pos="3540"/>
        </w:tabs>
        <w:ind w:left="355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3CFA4E">
      <w:start w:val="1"/>
      <w:numFmt w:val="lowerRoman"/>
      <w:lvlText w:val="%6."/>
      <w:lvlJc w:val="left"/>
      <w:pPr>
        <w:tabs>
          <w:tab w:val="num" w:pos="4248"/>
        </w:tabs>
        <w:ind w:left="426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989656">
      <w:start w:val="1"/>
      <w:numFmt w:val="decimal"/>
      <w:lvlText w:val="%7."/>
      <w:lvlJc w:val="left"/>
      <w:pPr>
        <w:tabs>
          <w:tab w:val="num" w:pos="4956"/>
        </w:tabs>
        <w:ind w:left="49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14F520">
      <w:start w:val="1"/>
      <w:numFmt w:val="lowerLetter"/>
      <w:lvlText w:val="%8."/>
      <w:lvlJc w:val="left"/>
      <w:pPr>
        <w:tabs>
          <w:tab w:val="num" w:pos="5664"/>
        </w:tabs>
        <w:ind w:left="567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66562">
      <w:start w:val="1"/>
      <w:numFmt w:val="lowerRoman"/>
      <w:lvlText w:val="%9."/>
      <w:lvlJc w:val="left"/>
      <w:pPr>
        <w:tabs>
          <w:tab w:val="num" w:pos="6372"/>
        </w:tabs>
        <w:ind w:left="6384" w:hanging="5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6744893"/>
    <w:multiLevelType w:val="hybridMultilevel"/>
    <w:tmpl w:val="C5B093C4"/>
    <w:styleLink w:val="Zaimportowanystyl18"/>
    <w:lvl w:ilvl="0" w:tplc="7360CA06">
      <w:start w:val="1"/>
      <w:numFmt w:val="bullet"/>
      <w:lvlText w:val="-"/>
      <w:lvlJc w:val="left"/>
      <w:pPr>
        <w:ind w:left="3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B0A524">
      <w:start w:val="1"/>
      <w:numFmt w:val="bullet"/>
      <w:lvlText w:val="-"/>
      <w:lvlJc w:val="left"/>
      <w:pPr>
        <w:ind w:left="11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FE51FC">
      <w:start w:val="1"/>
      <w:numFmt w:val="bullet"/>
      <w:lvlText w:val="-"/>
      <w:lvlJc w:val="left"/>
      <w:pPr>
        <w:ind w:left="19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EEE6">
      <w:start w:val="1"/>
      <w:numFmt w:val="bullet"/>
      <w:lvlText w:val="-"/>
      <w:lvlJc w:val="left"/>
      <w:pPr>
        <w:ind w:left="1843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CA890">
      <w:start w:val="1"/>
      <w:numFmt w:val="bullet"/>
      <w:lvlText w:val="-"/>
      <w:lvlJc w:val="left"/>
      <w:pPr>
        <w:ind w:left="2316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AC23E">
      <w:start w:val="1"/>
      <w:numFmt w:val="bullet"/>
      <w:lvlText w:val="-"/>
      <w:lvlJc w:val="left"/>
      <w:pPr>
        <w:ind w:left="2788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5E24D2">
      <w:start w:val="1"/>
      <w:numFmt w:val="bullet"/>
      <w:lvlText w:val="-"/>
      <w:lvlJc w:val="left"/>
      <w:pPr>
        <w:ind w:left="326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7E335C">
      <w:start w:val="1"/>
      <w:numFmt w:val="bullet"/>
      <w:lvlText w:val="-"/>
      <w:lvlJc w:val="left"/>
      <w:pPr>
        <w:ind w:left="37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7A709A">
      <w:start w:val="1"/>
      <w:numFmt w:val="bullet"/>
      <w:lvlText w:val="-"/>
      <w:lvlJc w:val="left"/>
      <w:pPr>
        <w:ind w:left="4206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6B4431C"/>
    <w:multiLevelType w:val="hybridMultilevel"/>
    <w:tmpl w:val="76120AE0"/>
    <w:styleLink w:val="Zaimportowanystyl6"/>
    <w:lvl w:ilvl="0" w:tplc="91001D12">
      <w:start w:val="1"/>
      <w:numFmt w:val="lowerLetter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E014F8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F86294">
      <w:start w:val="1"/>
      <w:numFmt w:val="lowerRoman"/>
      <w:lvlText w:val="%3."/>
      <w:lvlJc w:val="left"/>
      <w:pPr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1CF7CE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502886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145C24">
      <w:start w:val="1"/>
      <w:numFmt w:val="lowerRoman"/>
      <w:lvlText w:val="%6."/>
      <w:lvlJc w:val="left"/>
      <w:pPr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6021D8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4A3B30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1E3354">
      <w:start w:val="1"/>
      <w:numFmt w:val="lowerRoman"/>
      <w:lvlText w:val="%9."/>
      <w:lvlJc w:val="left"/>
      <w:pPr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7446642"/>
    <w:multiLevelType w:val="hybridMultilevel"/>
    <w:tmpl w:val="2878F6C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1" w15:restartNumberingAfterBreak="0">
    <w:nsid w:val="37D65589"/>
    <w:multiLevelType w:val="singleLevel"/>
    <w:tmpl w:val="04150011"/>
    <w:lvl w:ilvl="0">
      <w:start w:val="1"/>
      <w:numFmt w:val="decimal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7F60B2A"/>
    <w:multiLevelType w:val="hybridMultilevel"/>
    <w:tmpl w:val="C46C19B4"/>
    <w:numStyleLink w:val="Zaimportowanystyl20"/>
  </w:abstractNum>
  <w:abstractNum w:abstractNumId="43" w15:restartNumberingAfterBreak="0">
    <w:nsid w:val="385F5C0B"/>
    <w:multiLevelType w:val="hybridMultilevel"/>
    <w:tmpl w:val="FA38C5AE"/>
    <w:numStyleLink w:val="Zaimportowanystyl38"/>
  </w:abstractNum>
  <w:abstractNum w:abstractNumId="44" w15:restartNumberingAfterBreak="0">
    <w:nsid w:val="39943447"/>
    <w:multiLevelType w:val="hybridMultilevel"/>
    <w:tmpl w:val="8050F8D0"/>
    <w:numStyleLink w:val="Zaimportowanystyl27"/>
  </w:abstractNum>
  <w:abstractNum w:abstractNumId="45" w15:restartNumberingAfterBreak="0">
    <w:nsid w:val="3B4C0965"/>
    <w:multiLevelType w:val="hybridMultilevel"/>
    <w:tmpl w:val="196CCE88"/>
    <w:styleLink w:val="Zaimportowanystyl2"/>
    <w:lvl w:ilvl="0" w:tplc="C22EDA5A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7C2DD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EC82E6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B41C5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E4F7E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CE368E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CABC7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C4BEA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D064EE">
      <w:start w:val="1"/>
      <w:numFmt w:val="lowerRoman"/>
      <w:lvlText w:val="%9."/>
      <w:lvlJc w:val="left"/>
      <w:pPr>
        <w:tabs>
          <w:tab w:val="num" w:pos="6372"/>
        </w:tabs>
        <w:ind w:left="6384" w:hanging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3BE03F54"/>
    <w:multiLevelType w:val="hybridMultilevel"/>
    <w:tmpl w:val="8C3AFD86"/>
    <w:styleLink w:val="Zaimportowanystyl16"/>
    <w:lvl w:ilvl="0" w:tplc="9F38CF82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08629C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187B2A">
      <w:start w:val="1"/>
      <w:numFmt w:val="lowerRoman"/>
      <w:lvlText w:val="%3."/>
      <w:lvlJc w:val="left"/>
      <w:pPr>
        <w:ind w:left="252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4E6198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863816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6E68AE">
      <w:start w:val="1"/>
      <w:numFmt w:val="lowerRoman"/>
      <w:lvlText w:val="%6."/>
      <w:lvlJc w:val="left"/>
      <w:pPr>
        <w:ind w:left="468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245112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80C38C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AA310E">
      <w:start w:val="1"/>
      <w:numFmt w:val="lowerRoman"/>
      <w:lvlText w:val="%9."/>
      <w:lvlJc w:val="left"/>
      <w:pPr>
        <w:ind w:left="684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3C0F4AB4"/>
    <w:multiLevelType w:val="hybridMultilevel"/>
    <w:tmpl w:val="32543226"/>
    <w:styleLink w:val="Zaimportowanystyl35"/>
    <w:lvl w:ilvl="0" w:tplc="4D74EC72">
      <w:start w:val="1"/>
      <w:numFmt w:val="decimal"/>
      <w:lvlText w:val="%1)"/>
      <w:lvlJc w:val="left"/>
      <w:pPr>
        <w:ind w:left="106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1442FC">
      <w:start w:val="1"/>
      <w:numFmt w:val="decimal"/>
      <w:lvlText w:val="%2)"/>
      <w:lvlJc w:val="left"/>
      <w:pPr>
        <w:ind w:left="178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542F4E">
      <w:start w:val="1"/>
      <w:numFmt w:val="lowerRoman"/>
      <w:lvlText w:val="%3."/>
      <w:lvlJc w:val="left"/>
      <w:pPr>
        <w:ind w:left="2508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D61A62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622238">
      <w:start w:val="1"/>
      <w:numFmt w:val="lowerLetter"/>
      <w:lvlText w:val="%5."/>
      <w:lvlJc w:val="left"/>
      <w:pPr>
        <w:ind w:left="394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483A96">
      <w:start w:val="1"/>
      <w:numFmt w:val="lowerRoman"/>
      <w:lvlText w:val="%6."/>
      <w:lvlJc w:val="left"/>
      <w:pPr>
        <w:ind w:left="4668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C83C64">
      <w:start w:val="1"/>
      <w:numFmt w:val="decimal"/>
      <w:lvlText w:val="%7."/>
      <w:lvlJc w:val="left"/>
      <w:pPr>
        <w:ind w:left="538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16BEA2">
      <w:start w:val="1"/>
      <w:numFmt w:val="lowerLetter"/>
      <w:lvlText w:val="%8."/>
      <w:lvlJc w:val="left"/>
      <w:pPr>
        <w:ind w:left="610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9EC6B8">
      <w:start w:val="1"/>
      <w:numFmt w:val="lowerRoman"/>
      <w:lvlText w:val="%9."/>
      <w:lvlJc w:val="left"/>
      <w:pPr>
        <w:ind w:left="6828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0E43BFE"/>
    <w:multiLevelType w:val="hybridMultilevel"/>
    <w:tmpl w:val="71F4FBAC"/>
    <w:styleLink w:val="Zaimportowanystyl9"/>
    <w:lvl w:ilvl="0" w:tplc="C182158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FA0C9A">
      <w:start w:val="1"/>
      <w:numFmt w:val="decimal"/>
      <w:lvlText w:val="%2)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E3548">
      <w:start w:val="1"/>
      <w:numFmt w:val="lowerRoman"/>
      <w:lvlText w:val="%3."/>
      <w:lvlJc w:val="left"/>
      <w:pPr>
        <w:ind w:left="1797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48C730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4E6054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6CD34C">
      <w:start w:val="1"/>
      <w:numFmt w:val="lowerRoman"/>
      <w:lvlText w:val="%6."/>
      <w:lvlJc w:val="left"/>
      <w:pPr>
        <w:ind w:left="3957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AE064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CA5A3C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4ABDBC">
      <w:start w:val="1"/>
      <w:numFmt w:val="lowerRoman"/>
      <w:lvlText w:val="%9."/>
      <w:lvlJc w:val="left"/>
      <w:pPr>
        <w:ind w:left="6117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26E32A5"/>
    <w:multiLevelType w:val="hybridMultilevel"/>
    <w:tmpl w:val="A52E4768"/>
    <w:numStyleLink w:val="Zaimportowanystyl7"/>
  </w:abstractNum>
  <w:abstractNum w:abstractNumId="50" w15:restartNumberingAfterBreak="0">
    <w:nsid w:val="4497061D"/>
    <w:multiLevelType w:val="hybridMultilevel"/>
    <w:tmpl w:val="7C36819A"/>
    <w:numStyleLink w:val="Zaimportowanystyl37"/>
  </w:abstractNum>
  <w:abstractNum w:abstractNumId="51" w15:restartNumberingAfterBreak="0">
    <w:nsid w:val="44C02B09"/>
    <w:multiLevelType w:val="hybridMultilevel"/>
    <w:tmpl w:val="8C3AFD86"/>
    <w:numStyleLink w:val="Zaimportowanystyl16"/>
  </w:abstractNum>
  <w:abstractNum w:abstractNumId="52" w15:restartNumberingAfterBreak="0">
    <w:nsid w:val="459813EB"/>
    <w:multiLevelType w:val="hybridMultilevel"/>
    <w:tmpl w:val="99D28F80"/>
    <w:styleLink w:val="Zaimportowanystyl1"/>
    <w:lvl w:ilvl="0" w:tplc="B0982DB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9E1D9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BE2C88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D8C21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E34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2A8CEA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0222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88BF7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A6CBEE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6D52631"/>
    <w:multiLevelType w:val="hybridMultilevel"/>
    <w:tmpl w:val="71F4FBAC"/>
    <w:numStyleLink w:val="Zaimportowanystyl9"/>
  </w:abstractNum>
  <w:abstractNum w:abstractNumId="54" w15:restartNumberingAfterBreak="0">
    <w:nsid w:val="4CBF7800"/>
    <w:multiLevelType w:val="hybridMultilevel"/>
    <w:tmpl w:val="CC042A58"/>
    <w:styleLink w:val="Zaimportowanystyl39"/>
    <w:lvl w:ilvl="0" w:tplc="CBDAEBBE">
      <w:start w:val="1"/>
      <w:numFmt w:val="decimal"/>
      <w:lvlText w:val="%1."/>
      <w:lvlJc w:val="left"/>
      <w:pPr>
        <w:ind w:left="705" w:hanging="42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D21404">
      <w:start w:val="1"/>
      <w:numFmt w:val="lowerLetter"/>
      <w:lvlText w:val="%2."/>
      <w:lvlJc w:val="left"/>
      <w:pPr>
        <w:ind w:left="1080" w:hanging="4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A2C6BA">
      <w:start w:val="1"/>
      <w:numFmt w:val="lowerRoman"/>
      <w:lvlText w:val="%3."/>
      <w:lvlJc w:val="left"/>
      <w:pPr>
        <w:ind w:left="1800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1ABFCC">
      <w:start w:val="1"/>
      <w:numFmt w:val="decimal"/>
      <w:lvlText w:val="%4."/>
      <w:lvlJc w:val="left"/>
      <w:pPr>
        <w:ind w:left="2520" w:hanging="3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7EECCE">
      <w:start w:val="1"/>
      <w:numFmt w:val="lowerLetter"/>
      <w:lvlText w:val="%5."/>
      <w:lvlJc w:val="left"/>
      <w:pPr>
        <w:ind w:left="3240" w:hanging="3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8BB6E">
      <w:start w:val="1"/>
      <w:numFmt w:val="lowerRoman"/>
      <w:lvlText w:val="%6."/>
      <w:lvlJc w:val="left"/>
      <w:pPr>
        <w:ind w:left="3960" w:hanging="3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26B4BA">
      <w:start w:val="1"/>
      <w:numFmt w:val="decimal"/>
      <w:lvlText w:val="%7."/>
      <w:lvlJc w:val="left"/>
      <w:pPr>
        <w:ind w:left="4680" w:hanging="35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5C42E8">
      <w:start w:val="1"/>
      <w:numFmt w:val="lowerLetter"/>
      <w:lvlText w:val="%8."/>
      <w:lvlJc w:val="left"/>
      <w:pPr>
        <w:ind w:left="5400" w:hanging="3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1A0B20">
      <w:start w:val="1"/>
      <w:numFmt w:val="lowerRoman"/>
      <w:lvlText w:val="%9."/>
      <w:lvlJc w:val="left"/>
      <w:pPr>
        <w:ind w:left="6120" w:hanging="28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3693358"/>
    <w:multiLevelType w:val="hybridMultilevel"/>
    <w:tmpl w:val="C3DC88A8"/>
    <w:numStyleLink w:val="Zaimportowanystyl33"/>
  </w:abstractNum>
  <w:abstractNum w:abstractNumId="56" w15:restartNumberingAfterBreak="0">
    <w:nsid w:val="55CA710A"/>
    <w:multiLevelType w:val="hybridMultilevel"/>
    <w:tmpl w:val="97563CC8"/>
    <w:numStyleLink w:val="Zaimportowanystyl5"/>
  </w:abstractNum>
  <w:abstractNum w:abstractNumId="57" w15:restartNumberingAfterBreak="0">
    <w:nsid w:val="55EC7FA4"/>
    <w:multiLevelType w:val="hybridMultilevel"/>
    <w:tmpl w:val="AC78E76E"/>
    <w:numStyleLink w:val="Zaimportowanystyl31"/>
  </w:abstractNum>
  <w:abstractNum w:abstractNumId="58" w15:restartNumberingAfterBreak="0">
    <w:nsid w:val="560827C7"/>
    <w:multiLevelType w:val="hybridMultilevel"/>
    <w:tmpl w:val="8050F8D0"/>
    <w:styleLink w:val="Zaimportowanystyl27"/>
    <w:lvl w:ilvl="0" w:tplc="E9086C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54C77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10AA48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B2501C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641DE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6C5E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84CC4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8ECB6E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080FD2">
      <w:start w:val="1"/>
      <w:numFmt w:val="lowerRoman"/>
      <w:lvlText w:val="%9."/>
      <w:lvlJc w:val="left"/>
      <w:pPr>
        <w:ind w:left="6372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6A531C5"/>
    <w:multiLevelType w:val="hybridMultilevel"/>
    <w:tmpl w:val="9CA2A160"/>
    <w:lvl w:ilvl="0" w:tplc="F1889C40">
      <w:start w:val="1"/>
      <w:numFmt w:val="decimal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A204D4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84824">
      <w:start w:val="1"/>
      <w:numFmt w:val="lowerRoman"/>
      <w:lvlText w:val="%3."/>
      <w:lvlJc w:val="left"/>
      <w:pPr>
        <w:ind w:left="25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409CA2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0E1A0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C6DF98">
      <w:start w:val="1"/>
      <w:numFmt w:val="lowerRoman"/>
      <w:lvlText w:val="%6."/>
      <w:lvlJc w:val="left"/>
      <w:pPr>
        <w:ind w:left="474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0E7FA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83A7E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088150">
      <w:start w:val="1"/>
      <w:numFmt w:val="lowerRoman"/>
      <w:lvlText w:val="%9."/>
      <w:lvlJc w:val="left"/>
      <w:pPr>
        <w:ind w:left="690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75776AF"/>
    <w:multiLevelType w:val="hybridMultilevel"/>
    <w:tmpl w:val="99D28F80"/>
    <w:numStyleLink w:val="Zaimportowanystyl1"/>
  </w:abstractNum>
  <w:abstractNum w:abstractNumId="61" w15:restartNumberingAfterBreak="0">
    <w:nsid w:val="585574DC"/>
    <w:multiLevelType w:val="hybridMultilevel"/>
    <w:tmpl w:val="D2DAA28A"/>
    <w:numStyleLink w:val="Zaimportowanystyl22"/>
  </w:abstractNum>
  <w:abstractNum w:abstractNumId="62" w15:restartNumberingAfterBreak="0">
    <w:nsid w:val="5AEB32D5"/>
    <w:multiLevelType w:val="hybridMultilevel"/>
    <w:tmpl w:val="9CA2A160"/>
    <w:numStyleLink w:val="Zaimportowanystyl23"/>
  </w:abstractNum>
  <w:abstractNum w:abstractNumId="63" w15:restartNumberingAfterBreak="0">
    <w:nsid w:val="5D2477F5"/>
    <w:multiLevelType w:val="hybridMultilevel"/>
    <w:tmpl w:val="9CA2A160"/>
    <w:styleLink w:val="Zaimportowanystyl23"/>
    <w:lvl w:ilvl="0" w:tplc="5EE298A2">
      <w:start w:val="1"/>
      <w:numFmt w:val="decimal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1859AA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C87B7E">
      <w:start w:val="1"/>
      <w:numFmt w:val="lowerRoman"/>
      <w:lvlText w:val="%3."/>
      <w:lvlJc w:val="left"/>
      <w:pPr>
        <w:ind w:left="25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601C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52416A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6888E">
      <w:start w:val="1"/>
      <w:numFmt w:val="lowerRoman"/>
      <w:lvlText w:val="%6."/>
      <w:lvlJc w:val="left"/>
      <w:pPr>
        <w:ind w:left="474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E0671C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6C403E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74724A">
      <w:start w:val="1"/>
      <w:numFmt w:val="lowerRoman"/>
      <w:lvlText w:val="%9."/>
      <w:lvlJc w:val="left"/>
      <w:pPr>
        <w:ind w:left="690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5EE12FE7"/>
    <w:multiLevelType w:val="hybridMultilevel"/>
    <w:tmpl w:val="EFFE616A"/>
    <w:styleLink w:val="Zaimportowanystyl36"/>
    <w:lvl w:ilvl="0" w:tplc="92E84DC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9A437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6644D4">
      <w:start w:val="1"/>
      <w:numFmt w:val="lowerRoman"/>
      <w:lvlText w:val="%3."/>
      <w:lvlJc w:val="left"/>
      <w:pPr>
        <w:ind w:left="172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0CD7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2184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2CF64C">
      <w:start w:val="1"/>
      <w:numFmt w:val="lowerRoman"/>
      <w:lvlText w:val="%6."/>
      <w:lvlJc w:val="left"/>
      <w:pPr>
        <w:ind w:left="388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886BF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B2497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7E8194">
      <w:start w:val="1"/>
      <w:numFmt w:val="lowerRoman"/>
      <w:lvlText w:val="%9."/>
      <w:lvlJc w:val="left"/>
      <w:pPr>
        <w:ind w:left="604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607B294F"/>
    <w:multiLevelType w:val="hybridMultilevel"/>
    <w:tmpl w:val="E0BC3FF0"/>
    <w:styleLink w:val="Zaimportowanystyl14"/>
    <w:lvl w:ilvl="0" w:tplc="63A2D18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9A7666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760688">
      <w:start w:val="1"/>
      <w:numFmt w:val="lowerRoman"/>
      <w:lvlText w:val="%3."/>
      <w:lvlJc w:val="left"/>
      <w:pPr>
        <w:ind w:left="252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E8B6F2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503EB2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AE7C0A">
      <w:start w:val="1"/>
      <w:numFmt w:val="lowerRoman"/>
      <w:lvlText w:val="%6."/>
      <w:lvlJc w:val="left"/>
      <w:pPr>
        <w:ind w:left="468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5C9814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8AE06C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74C738">
      <w:start w:val="1"/>
      <w:numFmt w:val="lowerRoman"/>
      <w:lvlText w:val="%9."/>
      <w:lvlJc w:val="left"/>
      <w:pPr>
        <w:ind w:left="6840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1054C91"/>
    <w:multiLevelType w:val="hybridMultilevel"/>
    <w:tmpl w:val="5D3E6DB4"/>
    <w:styleLink w:val="Zaimportowanystyl17"/>
    <w:lvl w:ilvl="0" w:tplc="0C68365C">
      <w:start w:val="1"/>
      <w:numFmt w:val="decimal"/>
      <w:lvlText w:val="%1)"/>
      <w:lvlJc w:val="left"/>
      <w:pPr>
        <w:ind w:left="71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64D46C">
      <w:start w:val="1"/>
      <w:numFmt w:val="decimal"/>
      <w:lvlText w:val="%2)"/>
      <w:lvlJc w:val="left"/>
      <w:pPr>
        <w:ind w:left="14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EC49EE">
      <w:start w:val="1"/>
      <w:numFmt w:val="lowerLetter"/>
      <w:lvlText w:val="%3)"/>
      <w:lvlJc w:val="left"/>
      <w:pPr>
        <w:ind w:left="1418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024078">
      <w:start w:val="1"/>
      <w:numFmt w:val="decimal"/>
      <w:lvlText w:val="%4."/>
      <w:lvlJc w:val="left"/>
      <w:pPr>
        <w:ind w:left="2126" w:hanging="5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0E9E0C">
      <w:start w:val="1"/>
      <w:numFmt w:val="lowerLetter"/>
      <w:lvlText w:val="%5."/>
      <w:lvlJc w:val="left"/>
      <w:pPr>
        <w:ind w:left="2834" w:hanging="58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708228">
      <w:start w:val="1"/>
      <w:numFmt w:val="lowerRoman"/>
      <w:lvlText w:val="%6."/>
      <w:lvlJc w:val="left"/>
      <w:pPr>
        <w:ind w:left="3542" w:hanging="52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3CAE4A">
      <w:start w:val="1"/>
      <w:numFmt w:val="decimal"/>
      <w:lvlText w:val="%7."/>
      <w:lvlJc w:val="left"/>
      <w:pPr>
        <w:ind w:left="4250" w:hanging="5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CABCE8">
      <w:start w:val="1"/>
      <w:numFmt w:val="lowerLetter"/>
      <w:lvlText w:val="%8."/>
      <w:lvlJc w:val="left"/>
      <w:pPr>
        <w:ind w:left="4958" w:hanging="54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B2FDB8">
      <w:start w:val="1"/>
      <w:numFmt w:val="lowerRoman"/>
      <w:lvlText w:val="%9."/>
      <w:lvlJc w:val="left"/>
      <w:pPr>
        <w:ind w:left="5666" w:hanging="48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61233697"/>
    <w:multiLevelType w:val="hybridMultilevel"/>
    <w:tmpl w:val="1F8CADEA"/>
    <w:styleLink w:val="Zaimportowanystyl30"/>
    <w:lvl w:ilvl="0" w:tplc="567A05CE">
      <w:start w:val="1"/>
      <w:numFmt w:val="decimal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8240">
      <w:start w:val="1"/>
      <w:numFmt w:val="lowerLetter"/>
      <w:lvlText w:val="%2."/>
      <w:lvlJc w:val="left"/>
      <w:pPr>
        <w:ind w:left="1417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68E2D0">
      <w:start w:val="1"/>
      <w:numFmt w:val="lowerRoman"/>
      <w:lvlText w:val="%3."/>
      <w:lvlJc w:val="left"/>
      <w:pPr>
        <w:ind w:left="2125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7ADEEA">
      <w:start w:val="1"/>
      <w:numFmt w:val="decimal"/>
      <w:lvlText w:val="%4."/>
      <w:lvlJc w:val="left"/>
      <w:pPr>
        <w:ind w:left="2833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24937A">
      <w:start w:val="1"/>
      <w:numFmt w:val="lowerLetter"/>
      <w:lvlText w:val="%5."/>
      <w:lvlJc w:val="left"/>
      <w:pPr>
        <w:ind w:left="3541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9CECD4">
      <w:start w:val="1"/>
      <w:numFmt w:val="lowerRoman"/>
      <w:lvlText w:val="%6."/>
      <w:lvlJc w:val="left"/>
      <w:pPr>
        <w:ind w:left="4249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640F94">
      <w:start w:val="1"/>
      <w:numFmt w:val="decimal"/>
      <w:lvlText w:val="%7."/>
      <w:lvlJc w:val="left"/>
      <w:pPr>
        <w:ind w:left="4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22CE02">
      <w:start w:val="1"/>
      <w:numFmt w:val="lowerLetter"/>
      <w:lvlText w:val="%8."/>
      <w:lvlJc w:val="left"/>
      <w:pPr>
        <w:ind w:left="5665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D074C8">
      <w:start w:val="1"/>
      <w:numFmt w:val="lowerRoman"/>
      <w:lvlText w:val="%9."/>
      <w:lvlJc w:val="left"/>
      <w:pPr>
        <w:ind w:left="6373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15A0DE2"/>
    <w:multiLevelType w:val="hybridMultilevel"/>
    <w:tmpl w:val="84B8FD20"/>
    <w:numStyleLink w:val="Zaimportowanystyl12"/>
  </w:abstractNum>
  <w:abstractNum w:abstractNumId="69" w15:restartNumberingAfterBreak="0">
    <w:nsid w:val="616C42A3"/>
    <w:multiLevelType w:val="hybridMultilevel"/>
    <w:tmpl w:val="32543226"/>
    <w:numStyleLink w:val="Zaimportowanystyl35"/>
  </w:abstractNum>
  <w:abstractNum w:abstractNumId="70" w15:restartNumberingAfterBreak="0">
    <w:nsid w:val="62FE7209"/>
    <w:multiLevelType w:val="multilevel"/>
    <w:tmpl w:val="D0E0C5C8"/>
    <w:numStyleLink w:val="Zaimportowanystyl25"/>
  </w:abstractNum>
  <w:abstractNum w:abstractNumId="71" w15:restartNumberingAfterBreak="0">
    <w:nsid w:val="6A3A7DDC"/>
    <w:multiLevelType w:val="hybridMultilevel"/>
    <w:tmpl w:val="D0E0C5C8"/>
    <w:numStyleLink w:val="Zaimportowanystyl25"/>
  </w:abstractNum>
  <w:abstractNum w:abstractNumId="72" w15:restartNumberingAfterBreak="0">
    <w:nsid w:val="6D314F15"/>
    <w:multiLevelType w:val="hybridMultilevel"/>
    <w:tmpl w:val="A7FCD960"/>
    <w:numStyleLink w:val="Zaimportowanystyl32"/>
  </w:abstractNum>
  <w:abstractNum w:abstractNumId="73" w15:restartNumberingAfterBreak="0">
    <w:nsid w:val="6E772678"/>
    <w:multiLevelType w:val="hybridMultilevel"/>
    <w:tmpl w:val="B9EAC458"/>
    <w:numStyleLink w:val="Zaimportowanystyl24"/>
  </w:abstractNum>
  <w:abstractNum w:abstractNumId="74" w15:restartNumberingAfterBreak="0">
    <w:nsid w:val="6EDB15F6"/>
    <w:multiLevelType w:val="hybridMultilevel"/>
    <w:tmpl w:val="84B8FD20"/>
    <w:styleLink w:val="Zaimportowanystyl12"/>
    <w:lvl w:ilvl="0" w:tplc="1200D7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529300">
      <w:start w:val="1"/>
      <w:numFmt w:val="decimal"/>
      <w:lvlText w:val="%2)"/>
      <w:lvlJc w:val="left"/>
      <w:pPr>
        <w:ind w:left="107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49EE4">
      <w:start w:val="1"/>
      <w:numFmt w:val="lowerRoman"/>
      <w:lvlText w:val="%3."/>
      <w:lvlJc w:val="left"/>
      <w:pPr>
        <w:ind w:left="1797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9C3C34">
      <w:start w:val="1"/>
      <w:numFmt w:val="decimal"/>
      <w:lvlText w:val="%4."/>
      <w:lvlJc w:val="left"/>
      <w:pPr>
        <w:ind w:left="251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18A7B6">
      <w:start w:val="1"/>
      <w:numFmt w:val="lowerLetter"/>
      <w:lvlText w:val="%5."/>
      <w:lvlJc w:val="left"/>
      <w:pPr>
        <w:ind w:left="323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884BD0">
      <w:start w:val="1"/>
      <w:numFmt w:val="lowerRoman"/>
      <w:lvlText w:val="%6."/>
      <w:lvlJc w:val="left"/>
      <w:pPr>
        <w:ind w:left="3957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6AC466">
      <w:start w:val="1"/>
      <w:numFmt w:val="decimal"/>
      <w:lvlText w:val="%7."/>
      <w:lvlJc w:val="left"/>
      <w:pPr>
        <w:ind w:left="467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2C5D4E">
      <w:start w:val="1"/>
      <w:numFmt w:val="lowerLetter"/>
      <w:lvlText w:val="%8."/>
      <w:lvlJc w:val="left"/>
      <w:pPr>
        <w:ind w:left="539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ACF754">
      <w:start w:val="1"/>
      <w:numFmt w:val="lowerRoman"/>
      <w:lvlText w:val="%9."/>
      <w:lvlJc w:val="left"/>
      <w:pPr>
        <w:ind w:left="6117" w:hanging="3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6F5B467E"/>
    <w:multiLevelType w:val="hybridMultilevel"/>
    <w:tmpl w:val="01789288"/>
    <w:styleLink w:val="Zaimportowanystyl3"/>
    <w:lvl w:ilvl="0" w:tplc="5EBA8E46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67A8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CA5252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D69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E418B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9AC426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64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80D66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C41C6E">
      <w:start w:val="1"/>
      <w:numFmt w:val="lowerRoman"/>
      <w:lvlText w:val="%9."/>
      <w:lvlJc w:val="left"/>
      <w:pPr>
        <w:tabs>
          <w:tab w:val="num" w:pos="6372"/>
        </w:tabs>
        <w:ind w:left="6384" w:hanging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028045C"/>
    <w:multiLevelType w:val="hybridMultilevel"/>
    <w:tmpl w:val="FA38C5AE"/>
    <w:styleLink w:val="Zaimportowanystyl38"/>
    <w:lvl w:ilvl="0" w:tplc="0E5AE1C6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2676AA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5EBF9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402152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CEE4C6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0C5068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3C2750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2E26B2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E892F2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0E25952"/>
    <w:multiLevelType w:val="hybridMultilevel"/>
    <w:tmpl w:val="C11E44E2"/>
    <w:styleLink w:val="Zaimportowanystyl21"/>
    <w:lvl w:ilvl="0" w:tplc="39DABE32">
      <w:start w:val="1"/>
      <w:numFmt w:val="decimal"/>
      <w:lvlText w:val="%1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CC94">
      <w:start w:val="1"/>
      <w:numFmt w:val="decimal"/>
      <w:lvlText w:val="%2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2CAF2">
      <w:start w:val="1"/>
      <w:numFmt w:val="lowerLetter"/>
      <w:suff w:val="nothing"/>
      <w:lvlText w:val="%3."/>
      <w:lvlJc w:val="left"/>
      <w:pPr>
        <w:ind w:left="21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649D6A">
      <w:start w:val="1"/>
      <w:numFmt w:val="lowerLetter"/>
      <w:lvlText w:val="%4."/>
      <w:lvlJc w:val="left"/>
      <w:pPr>
        <w:ind w:left="2832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D053F4">
      <w:start w:val="1"/>
      <w:numFmt w:val="decimal"/>
      <w:lvlText w:val="%5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E097EA">
      <w:start w:val="1"/>
      <w:numFmt w:val="lowerRoman"/>
      <w:lvlText w:val="%6."/>
      <w:lvlJc w:val="left"/>
      <w:pPr>
        <w:ind w:left="1854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22A83A">
      <w:start w:val="1"/>
      <w:numFmt w:val="decimal"/>
      <w:lvlText w:val="%7."/>
      <w:lvlJc w:val="left"/>
      <w:pPr>
        <w:ind w:left="257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AA8122">
      <w:start w:val="1"/>
      <w:numFmt w:val="lowerLetter"/>
      <w:lvlText w:val="%8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A2E5D0">
      <w:start w:val="1"/>
      <w:numFmt w:val="lowerRoman"/>
      <w:lvlText w:val="%9."/>
      <w:lvlJc w:val="left"/>
      <w:pPr>
        <w:ind w:left="4014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26276F5"/>
    <w:multiLevelType w:val="hybridMultilevel"/>
    <w:tmpl w:val="E452D1AA"/>
    <w:numStyleLink w:val="Zaimportowanystyl34"/>
  </w:abstractNum>
  <w:abstractNum w:abstractNumId="79" w15:restartNumberingAfterBreak="0">
    <w:nsid w:val="732B0393"/>
    <w:multiLevelType w:val="hybridMultilevel"/>
    <w:tmpl w:val="26840E58"/>
    <w:numStyleLink w:val="Zaimportowanystyl29"/>
  </w:abstractNum>
  <w:abstractNum w:abstractNumId="80" w15:restartNumberingAfterBreak="0">
    <w:nsid w:val="74193413"/>
    <w:multiLevelType w:val="hybridMultilevel"/>
    <w:tmpl w:val="D3FACDDA"/>
    <w:numStyleLink w:val="Zaimportowanystyl4"/>
  </w:abstractNum>
  <w:abstractNum w:abstractNumId="81" w15:restartNumberingAfterBreak="0">
    <w:nsid w:val="76380D6C"/>
    <w:multiLevelType w:val="hybridMultilevel"/>
    <w:tmpl w:val="76120AE0"/>
    <w:numStyleLink w:val="Zaimportowanystyl6"/>
  </w:abstractNum>
  <w:abstractNum w:abstractNumId="82" w15:restartNumberingAfterBreak="0">
    <w:nsid w:val="77A24BBF"/>
    <w:multiLevelType w:val="hybridMultilevel"/>
    <w:tmpl w:val="A7FCD960"/>
    <w:lvl w:ilvl="0" w:tplc="F1F4D8E0">
      <w:start w:val="1"/>
      <w:numFmt w:val="decimal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EC473A">
      <w:start w:val="1"/>
      <w:numFmt w:val="lowerLetter"/>
      <w:lvlText w:val="%2."/>
      <w:lvlJc w:val="left"/>
      <w:pPr>
        <w:ind w:left="1417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6EA440">
      <w:start w:val="1"/>
      <w:numFmt w:val="lowerRoman"/>
      <w:lvlText w:val="%3."/>
      <w:lvlJc w:val="left"/>
      <w:pPr>
        <w:ind w:left="2125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EA61FA">
      <w:start w:val="1"/>
      <w:numFmt w:val="decimal"/>
      <w:lvlText w:val="%4."/>
      <w:lvlJc w:val="left"/>
      <w:pPr>
        <w:ind w:left="2833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3EA736">
      <w:start w:val="1"/>
      <w:numFmt w:val="lowerLetter"/>
      <w:lvlText w:val="%5."/>
      <w:lvlJc w:val="left"/>
      <w:pPr>
        <w:ind w:left="3541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FA107C">
      <w:start w:val="1"/>
      <w:numFmt w:val="lowerRoman"/>
      <w:lvlText w:val="%6."/>
      <w:lvlJc w:val="left"/>
      <w:pPr>
        <w:ind w:left="4249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A0026">
      <w:start w:val="1"/>
      <w:numFmt w:val="decimal"/>
      <w:lvlText w:val="%7."/>
      <w:lvlJc w:val="left"/>
      <w:pPr>
        <w:ind w:left="4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089EA8">
      <w:start w:val="1"/>
      <w:numFmt w:val="lowerLetter"/>
      <w:lvlText w:val="%8."/>
      <w:lvlJc w:val="left"/>
      <w:pPr>
        <w:ind w:left="5665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F8086E">
      <w:start w:val="1"/>
      <w:numFmt w:val="lowerRoman"/>
      <w:lvlText w:val="%9."/>
      <w:lvlJc w:val="left"/>
      <w:pPr>
        <w:ind w:left="6373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7D9B73FC"/>
    <w:multiLevelType w:val="hybridMultilevel"/>
    <w:tmpl w:val="A7FCD960"/>
    <w:styleLink w:val="Zaimportowanystyl32"/>
    <w:lvl w:ilvl="0" w:tplc="36FE2A8A">
      <w:start w:val="1"/>
      <w:numFmt w:val="decimal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1025AA">
      <w:start w:val="1"/>
      <w:numFmt w:val="lowerLetter"/>
      <w:lvlText w:val="%2."/>
      <w:lvlJc w:val="left"/>
      <w:pPr>
        <w:ind w:left="1417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6E9DAC">
      <w:start w:val="1"/>
      <w:numFmt w:val="lowerRoman"/>
      <w:lvlText w:val="%3."/>
      <w:lvlJc w:val="left"/>
      <w:pPr>
        <w:ind w:left="2125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FE8D70">
      <w:start w:val="1"/>
      <w:numFmt w:val="decimal"/>
      <w:lvlText w:val="%4."/>
      <w:lvlJc w:val="left"/>
      <w:pPr>
        <w:ind w:left="2833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CEB272">
      <w:start w:val="1"/>
      <w:numFmt w:val="lowerLetter"/>
      <w:lvlText w:val="%5."/>
      <w:lvlJc w:val="left"/>
      <w:pPr>
        <w:ind w:left="3541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F45016">
      <w:start w:val="1"/>
      <w:numFmt w:val="lowerRoman"/>
      <w:lvlText w:val="%6."/>
      <w:lvlJc w:val="left"/>
      <w:pPr>
        <w:ind w:left="4249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EE00CC">
      <w:start w:val="1"/>
      <w:numFmt w:val="decimal"/>
      <w:lvlText w:val="%7."/>
      <w:lvlJc w:val="left"/>
      <w:pPr>
        <w:ind w:left="4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644F08">
      <w:start w:val="1"/>
      <w:numFmt w:val="lowerLetter"/>
      <w:lvlText w:val="%8."/>
      <w:lvlJc w:val="left"/>
      <w:pPr>
        <w:ind w:left="5665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7E00A6">
      <w:start w:val="1"/>
      <w:numFmt w:val="lowerRoman"/>
      <w:lvlText w:val="%9."/>
      <w:lvlJc w:val="left"/>
      <w:pPr>
        <w:ind w:left="6373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7EE57B9F"/>
    <w:multiLevelType w:val="hybridMultilevel"/>
    <w:tmpl w:val="AC78E76E"/>
    <w:styleLink w:val="Zaimportowanystyl31"/>
    <w:lvl w:ilvl="0" w:tplc="D0365D1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8E26F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A49340">
      <w:start w:val="1"/>
      <w:numFmt w:val="lowerRoman"/>
      <w:lvlText w:val="%3."/>
      <w:lvlJc w:val="left"/>
      <w:pPr>
        <w:ind w:left="172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70044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D6EF2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B06652">
      <w:start w:val="1"/>
      <w:numFmt w:val="lowerRoman"/>
      <w:lvlText w:val="%6."/>
      <w:lvlJc w:val="left"/>
      <w:pPr>
        <w:ind w:left="388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00859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F629F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562408">
      <w:start w:val="1"/>
      <w:numFmt w:val="lowerRoman"/>
      <w:lvlText w:val="%9."/>
      <w:lvlJc w:val="left"/>
      <w:pPr>
        <w:ind w:left="604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2"/>
  </w:num>
  <w:num w:numId="2">
    <w:abstractNumId w:val="60"/>
  </w:num>
  <w:num w:numId="3">
    <w:abstractNumId w:val="45"/>
  </w:num>
  <w:num w:numId="4">
    <w:abstractNumId w:val="2"/>
  </w:num>
  <w:num w:numId="5">
    <w:abstractNumId w:val="60"/>
    <w:lvlOverride w:ilvl="0">
      <w:startOverride w:val="2"/>
    </w:lvlOverride>
  </w:num>
  <w:num w:numId="6">
    <w:abstractNumId w:val="75"/>
  </w:num>
  <w:num w:numId="7">
    <w:abstractNumId w:val="28"/>
  </w:num>
  <w:num w:numId="8">
    <w:abstractNumId w:val="60"/>
    <w:lvlOverride w:ilvl="0">
      <w:startOverride w:val="3"/>
    </w:lvlOverride>
  </w:num>
  <w:num w:numId="9">
    <w:abstractNumId w:val="15"/>
  </w:num>
  <w:num w:numId="10">
    <w:abstractNumId w:val="80"/>
  </w:num>
  <w:num w:numId="11">
    <w:abstractNumId w:val="37"/>
  </w:num>
  <w:num w:numId="12">
    <w:abstractNumId w:val="56"/>
    <w:lvlOverride w:ilvl="0">
      <w:lvl w:ilvl="0" w:tplc="273CA780">
        <w:start w:val="1"/>
        <w:numFmt w:val="decimal"/>
        <w:lvlText w:val="%1)"/>
        <w:lvlJc w:val="left"/>
        <w:pPr>
          <w:tabs>
            <w:tab w:val="num" w:pos="708"/>
          </w:tabs>
          <w:ind w:left="720" w:hanging="72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9"/>
  </w:num>
  <w:num w:numId="14">
    <w:abstractNumId w:val="81"/>
  </w:num>
  <w:num w:numId="15">
    <w:abstractNumId w:val="56"/>
    <w:lvlOverride w:ilvl="0">
      <w:lvl w:ilvl="0" w:tplc="273CA780">
        <w:start w:val="1"/>
        <w:numFmt w:val="decimal"/>
        <w:lvlText w:val="%1)"/>
        <w:lvlJc w:val="left"/>
        <w:pPr>
          <w:tabs>
            <w:tab w:val="num" w:pos="70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2CFC38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FCE83E">
        <w:start w:val="1"/>
        <w:numFmt w:val="lowerRoman"/>
        <w:lvlText w:val="%3."/>
        <w:lvlJc w:val="left"/>
        <w:pPr>
          <w:tabs>
            <w:tab w:val="num" w:pos="2124"/>
          </w:tabs>
          <w:ind w:left="2136" w:hanging="6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B866A8">
        <w:start w:val="1"/>
        <w:numFmt w:val="decimal"/>
        <w:lvlText w:val="%4."/>
        <w:lvlJc w:val="left"/>
        <w:pPr>
          <w:tabs>
            <w:tab w:val="num" w:pos="2832"/>
          </w:tabs>
          <w:ind w:left="284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7CA512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7A6C28">
        <w:start w:val="1"/>
        <w:numFmt w:val="lowerRoman"/>
        <w:lvlText w:val="%6."/>
        <w:lvlJc w:val="left"/>
        <w:pPr>
          <w:tabs>
            <w:tab w:val="num" w:pos="4248"/>
          </w:tabs>
          <w:ind w:left="4260" w:hanging="6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186D8A">
        <w:start w:val="1"/>
        <w:numFmt w:val="decimal"/>
        <w:lvlText w:val="%7."/>
        <w:lvlJc w:val="left"/>
        <w:pPr>
          <w:tabs>
            <w:tab w:val="num" w:pos="4956"/>
          </w:tabs>
          <w:ind w:left="496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3047CC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40B9BC">
        <w:start w:val="1"/>
        <w:numFmt w:val="lowerRoman"/>
        <w:lvlText w:val="%9."/>
        <w:lvlJc w:val="left"/>
        <w:pPr>
          <w:tabs>
            <w:tab w:val="num" w:pos="6372"/>
          </w:tabs>
          <w:ind w:left="6384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0"/>
  </w:num>
  <w:num w:numId="17">
    <w:abstractNumId w:val="49"/>
  </w:num>
  <w:num w:numId="18">
    <w:abstractNumId w:val="49"/>
    <w:lvlOverride w:ilvl="0">
      <w:lvl w:ilvl="0" w:tplc="A6D0ED22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5818D8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EE7072">
        <w:start w:val="1"/>
        <w:numFmt w:val="lowerRoman"/>
        <w:lvlText w:val="%3."/>
        <w:lvlJc w:val="left"/>
        <w:pPr>
          <w:ind w:left="179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5A1F52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B0009C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D82D28">
        <w:start w:val="1"/>
        <w:numFmt w:val="lowerRoman"/>
        <w:lvlText w:val="%6."/>
        <w:lvlJc w:val="left"/>
        <w:pPr>
          <w:ind w:left="395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B86B2A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3476C8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64935C">
        <w:start w:val="1"/>
        <w:numFmt w:val="lowerRoman"/>
        <w:lvlText w:val="%9."/>
        <w:lvlJc w:val="left"/>
        <w:pPr>
          <w:ind w:left="611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49"/>
    <w:lvlOverride w:ilvl="0">
      <w:lvl w:ilvl="0" w:tplc="A6D0ED22">
        <w:start w:val="1"/>
        <w:numFmt w:val="decimal"/>
        <w:lvlText w:val="%1."/>
        <w:lvlJc w:val="left"/>
        <w:pPr>
          <w:tabs>
            <w:tab w:val="num" w:pos="360"/>
            <w:tab w:val="left" w:pos="426"/>
          </w:tabs>
          <w:ind w:left="42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5818D8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num" w:pos="1146"/>
          </w:tabs>
          <w:ind w:left="1212" w:hanging="4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EE7072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num" w:pos="1866"/>
          </w:tabs>
          <w:ind w:left="1932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5A1F5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num" w:pos="2586"/>
          </w:tabs>
          <w:ind w:left="2652" w:hanging="4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B0009C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num" w:pos="3306"/>
          </w:tabs>
          <w:ind w:left="3372" w:hanging="4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D82D28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num" w:pos="4026"/>
          </w:tabs>
          <w:ind w:left="4092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B86B2A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num" w:pos="4746"/>
          </w:tabs>
          <w:ind w:left="4812" w:hanging="4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3476C8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num" w:pos="5466"/>
          </w:tabs>
          <w:ind w:left="5532" w:hanging="4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64935C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num" w:pos="6186"/>
          </w:tabs>
          <w:ind w:left="6252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30"/>
  </w:num>
  <w:num w:numId="21">
    <w:abstractNumId w:val="8"/>
  </w:num>
  <w:num w:numId="22">
    <w:abstractNumId w:val="49"/>
    <w:lvlOverride w:ilvl="0">
      <w:startOverride w:val="4"/>
      <w:lvl w:ilvl="0" w:tplc="A6D0ED22">
        <w:start w:val="4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95818D8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4EE7072">
        <w:start w:val="1"/>
        <w:numFmt w:val="lowerRoman"/>
        <w:lvlText w:val="%3."/>
        <w:lvlJc w:val="left"/>
        <w:pPr>
          <w:ind w:left="179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A5A1F52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7B0009C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7D82D28">
        <w:start w:val="1"/>
        <w:numFmt w:val="lowerRoman"/>
        <w:lvlText w:val="%6."/>
        <w:lvlJc w:val="left"/>
        <w:pPr>
          <w:ind w:left="395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EB86B2A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3476C8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64935C">
        <w:start w:val="1"/>
        <w:numFmt w:val="lowerRoman"/>
        <w:lvlText w:val="%9."/>
        <w:lvlJc w:val="left"/>
        <w:pPr>
          <w:ind w:left="6117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48"/>
  </w:num>
  <w:num w:numId="24">
    <w:abstractNumId w:val="53"/>
  </w:num>
  <w:num w:numId="25">
    <w:abstractNumId w:val="3"/>
  </w:num>
  <w:num w:numId="26">
    <w:abstractNumId w:val="27"/>
  </w:num>
  <w:num w:numId="27">
    <w:abstractNumId w:val="53"/>
    <w:lvlOverride w:ilvl="0">
      <w:startOverride w:val="2"/>
    </w:lvlOverride>
  </w:num>
  <w:num w:numId="28">
    <w:abstractNumId w:val="22"/>
  </w:num>
  <w:num w:numId="29">
    <w:abstractNumId w:val="36"/>
  </w:num>
  <w:num w:numId="30">
    <w:abstractNumId w:val="53"/>
    <w:lvlOverride w:ilvl="0">
      <w:startOverride w:val="5"/>
    </w:lvlOverride>
  </w:num>
  <w:num w:numId="31">
    <w:abstractNumId w:val="74"/>
  </w:num>
  <w:num w:numId="32">
    <w:abstractNumId w:val="68"/>
  </w:num>
  <w:num w:numId="33">
    <w:abstractNumId w:val="5"/>
  </w:num>
  <w:num w:numId="34">
    <w:abstractNumId w:val="1"/>
  </w:num>
  <w:num w:numId="35">
    <w:abstractNumId w:val="1"/>
    <w:lvlOverride w:ilvl="0">
      <w:lvl w:ilvl="0" w:tplc="FCEA4D04">
        <w:start w:val="1"/>
        <w:numFmt w:val="lowerLetter"/>
        <w:lvlText w:val="%1)"/>
        <w:lvlJc w:val="left"/>
        <w:pPr>
          <w:tabs>
            <w:tab w:val="left" w:pos="1134"/>
          </w:tabs>
          <w:ind w:left="1418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EE4E18">
        <w:start w:val="1"/>
        <w:numFmt w:val="lowerLetter"/>
        <w:lvlText w:val="%2."/>
        <w:lvlJc w:val="left"/>
        <w:pPr>
          <w:tabs>
            <w:tab w:val="left" w:pos="1134"/>
          </w:tabs>
          <w:ind w:left="1780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2A8C6E">
        <w:start w:val="1"/>
        <w:numFmt w:val="lowerRoman"/>
        <w:lvlText w:val="%3."/>
        <w:lvlJc w:val="left"/>
        <w:pPr>
          <w:tabs>
            <w:tab w:val="left" w:pos="1134"/>
            <w:tab w:val="num" w:pos="2124"/>
          </w:tabs>
          <w:ind w:left="2160" w:hanging="3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DC587A">
        <w:start w:val="1"/>
        <w:numFmt w:val="decimal"/>
        <w:lvlText w:val="%4."/>
        <w:lvlJc w:val="left"/>
        <w:pPr>
          <w:tabs>
            <w:tab w:val="left" w:pos="1134"/>
            <w:tab w:val="num" w:pos="2832"/>
          </w:tabs>
          <w:ind w:left="2868" w:hanging="3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AC307A">
        <w:start w:val="1"/>
        <w:numFmt w:val="lowerLetter"/>
        <w:lvlText w:val="%5."/>
        <w:lvlJc w:val="left"/>
        <w:pPr>
          <w:tabs>
            <w:tab w:val="left" w:pos="1134"/>
            <w:tab w:val="num" w:pos="3540"/>
          </w:tabs>
          <w:ind w:left="3576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5CAE5A">
        <w:start w:val="1"/>
        <w:numFmt w:val="lowerRoman"/>
        <w:lvlText w:val="%6."/>
        <w:lvlJc w:val="left"/>
        <w:pPr>
          <w:tabs>
            <w:tab w:val="left" w:pos="1134"/>
            <w:tab w:val="num" w:pos="4248"/>
          </w:tabs>
          <w:ind w:left="4284" w:hanging="27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D46183E">
        <w:start w:val="1"/>
        <w:numFmt w:val="decimal"/>
        <w:lvlText w:val="%7."/>
        <w:lvlJc w:val="left"/>
        <w:pPr>
          <w:tabs>
            <w:tab w:val="left" w:pos="1134"/>
            <w:tab w:val="num" w:pos="4956"/>
          </w:tabs>
          <w:ind w:left="4992" w:hanging="3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4A46EE">
        <w:start w:val="1"/>
        <w:numFmt w:val="lowerLetter"/>
        <w:lvlText w:val="%8."/>
        <w:lvlJc w:val="left"/>
        <w:pPr>
          <w:tabs>
            <w:tab w:val="left" w:pos="1134"/>
            <w:tab w:val="num" w:pos="5664"/>
          </w:tabs>
          <w:ind w:left="57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C607E6">
        <w:start w:val="1"/>
        <w:numFmt w:val="lowerRoman"/>
        <w:lvlText w:val="%9."/>
        <w:lvlJc w:val="left"/>
        <w:pPr>
          <w:tabs>
            <w:tab w:val="left" w:pos="1134"/>
            <w:tab w:val="num" w:pos="6372"/>
          </w:tabs>
          <w:ind w:left="6408" w:hanging="2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68"/>
    <w:lvlOverride w:ilvl="1">
      <w:startOverride w:val="2"/>
    </w:lvlOverride>
  </w:num>
  <w:num w:numId="37">
    <w:abstractNumId w:val="53"/>
    <w:lvlOverride w:ilvl="0">
      <w:startOverride w:val="8"/>
    </w:lvlOverride>
  </w:num>
  <w:num w:numId="38">
    <w:abstractNumId w:val="65"/>
  </w:num>
  <w:num w:numId="39">
    <w:abstractNumId w:val="26"/>
  </w:num>
  <w:num w:numId="40">
    <w:abstractNumId w:val="17"/>
  </w:num>
  <w:num w:numId="41">
    <w:abstractNumId w:val="14"/>
  </w:num>
  <w:num w:numId="42">
    <w:abstractNumId w:val="46"/>
  </w:num>
  <w:num w:numId="43">
    <w:abstractNumId w:val="51"/>
  </w:num>
  <w:num w:numId="44">
    <w:abstractNumId w:val="66"/>
  </w:num>
  <w:num w:numId="45">
    <w:abstractNumId w:val="35"/>
  </w:num>
  <w:num w:numId="46">
    <w:abstractNumId w:val="38"/>
  </w:num>
  <w:num w:numId="47">
    <w:abstractNumId w:val="19"/>
  </w:num>
  <w:num w:numId="48">
    <w:abstractNumId w:val="35"/>
    <w:lvlOverride w:ilvl="2">
      <w:startOverride w:val="3"/>
    </w:lvlOverride>
  </w:num>
  <w:num w:numId="49">
    <w:abstractNumId w:val="35"/>
    <w:lvlOverride w:ilvl="2">
      <w:startOverride w:val="4"/>
    </w:lvlOverride>
  </w:num>
  <w:num w:numId="50">
    <w:abstractNumId w:val="51"/>
    <w:lvlOverride w:ilvl="0">
      <w:startOverride w:val="2"/>
    </w:lvlOverride>
  </w:num>
  <w:num w:numId="51">
    <w:abstractNumId w:val="29"/>
  </w:num>
  <w:num w:numId="52">
    <w:abstractNumId w:val="10"/>
  </w:num>
  <w:num w:numId="53">
    <w:abstractNumId w:val="51"/>
    <w:lvlOverride w:ilvl="0">
      <w:startOverride w:val="3"/>
    </w:lvlOverride>
  </w:num>
  <w:num w:numId="54">
    <w:abstractNumId w:val="14"/>
    <w:lvlOverride w:ilvl="0">
      <w:startOverride w:val="3"/>
    </w:lvlOverride>
  </w:num>
  <w:num w:numId="55">
    <w:abstractNumId w:val="21"/>
  </w:num>
  <w:num w:numId="56">
    <w:abstractNumId w:val="42"/>
  </w:num>
  <w:num w:numId="57">
    <w:abstractNumId w:val="14"/>
    <w:lvlOverride w:ilvl="0">
      <w:startOverride w:val="6"/>
    </w:lvlOverride>
  </w:num>
  <w:num w:numId="58">
    <w:abstractNumId w:val="77"/>
  </w:num>
  <w:num w:numId="59">
    <w:abstractNumId w:val="13"/>
  </w:num>
  <w:num w:numId="60">
    <w:abstractNumId w:val="14"/>
    <w:lvlOverride w:ilvl="0">
      <w:startOverride w:val="10"/>
    </w:lvlOverride>
  </w:num>
  <w:num w:numId="61">
    <w:abstractNumId w:val="18"/>
  </w:num>
  <w:num w:numId="62">
    <w:abstractNumId w:val="61"/>
  </w:num>
  <w:num w:numId="63">
    <w:abstractNumId w:val="14"/>
    <w:lvlOverride w:ilvl="0">
      <w:startOverride w:val="12"/>
    </w:lvlOverride>
  </w:num>
  <w:num w:numId="64">
    <w:abstractNumId w:val="63"/>
  </w:num>
  <w:num w:numId="65">
    <w:abstractNumId w:val="62"/>
  </w:num>
  <w:num w:numId="66">
    <w:abstractNumId w:val="14"/>
    <w:lvlOverride w:ilvl="0">
      <w:startOverride w:val="15"/>
    </w:lvlOverride>
  </w:num>
  <w:num w:numId="67">
    <w:abstractNumId w:val="9"/>
  </w:num>
  <w:num w:numId="68">
    <w:abstractNumId w:val="73"/>
  </w:num>
  <w:num w:numId="69">
    <w:abstractNumId w:val="73"/>
    <w:lvlOverride w:ilvl="0">
      <w:lvl w:ilvl="0" w:tplc="35C2ACA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500B88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FEC6EA">
        <w:start w:val="1"/>
        <w:numFmt w:val="lowerRoman"/>
        <w:lvlText w:val="%3."/>
        <w:lvlJc w:val="left"/>
        <w:pPr>
          <w:ind w:left="2124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924F8A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C6EBCA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D695CE">
        <w:start w:val="1"/>
        <w:numFmt w:val="lowerRoman"/>
        <w:lvlText w:val="%6."/>
        <w:lvlJc w:val="left"/>
        <w:pPr>
          <w:ind w:left="4248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8E409E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624B70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CE74B2">
        <w:start w:val="1"/>
        <w:numFmt w:val="lowerRoman"/>
        <w:lvlText w:val="%9."/>
        <w:lvlJc w:val="left"/>
        <w:pPr>
          <w:ind w:left="6372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73"/>
    <w:lvlOverride w:ilvl="0">
      <w:lvl w:ilvl="0" w:tplc="35C2ACA4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500B88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FEC6EA">
        <w:start w:val="1"/>
        <w:numFmt w:val="lowerRoman"/>
        <w:lvlText w:val="%3."/>
        <w:lvlJc w:val="left"/>
        <w:pPr>
          <w:ind w:left="2124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924F8A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C6EBCA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D695CE">
        <w:start w:val="1"/>
        <w:numFmt w:val="lowerRoman"/>
        <w:lvlText w:val="%6."/>
        <w:lvlJc w:val="left"/>
        <w:pPr>
          <w:ind w:left="4248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8E409E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624B70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CE74B2">
        <w:start w:val="1"/>
        <w:numFmt w:val="lowerRoman"/>
        <w:lvlText w:val="%9."/>
        <w:lvlJc w:val="left"/>
        <w:pPr>
          <w:ind w:left="6372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>
    <w:abstractNumId w:val="34"/>
  </w:num>
  <w:num w:numId="72">
    <w:abstractNumId w:val="71"/>
  </w:num>
  <w:num w:numId="73">
    <w:abstractNumId w:val="73"/>
    <w:lvlOverride w:ilvl="0">
      <w:startOverride w:val="5"/>
      <w:lvl w:ilvl="0" w:tplc="35C2ACA4">
        <w:start w:val="5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0500B88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BFEC6EA">
        <w:start w:val="1"/>
        <w:numFmt w:val="lowerRoman"/>
        <w:lvlText w:val="%3."/>
        <w:lvlJc w:val="left"/>
        <w:pPr>
          <w:ind w:left="2124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C924F8A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BC6EBCA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FD695CE">
        <w:start w:val="1"/>
        <w:numFmt w:val="lowerRoman"/>
        <w:lvlText w:val="%6."/>
        <w:lvlJc w:val="left"/>
        <w:pPr>
          <w:ind w:left="4248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58E409E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1624B70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CE74B2">
        <w:start w:val="1"/>
        <w:numFmt w:val="lowerRoman"/>
        <w:lvlText w:val="%9."/>
        <w:lvlJc w:val="left"/>
        <w:pPr>
          <w:ind w:left="6372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4">
    <w:abstractNumId w:val="33"/>
  </w:num>
  <w:num w:numId="75">
    <w:abstractNumId w:val="7"/>
  </w:num>
  <w:num w:numId="76">
    <w:abstractNumId w:val="7"/>
    <w:lvlOverride w:ilvl="0">
      <w:lvl w:ilvl="0" w:tplc="ACB4E12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CEB84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00E3A0">
        <w:start w:val="1"/>
        <w:numFmt w:val="lowerRoman"/>
        <w:lvlText w:val="%3."/>
        <w:lvlJc w:val="left"/>
        <w:pPr>
          <w:ind w:left="180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16399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2A21A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766362">
        <w:start w:val="1"/>
        <w:numFmt w:val="lowerRoman"/>
        <w:lvlText w:val="%6."/>
        <w:lvlJc w:val="left"/>
        <w:pPr>
          <w:ind w:left="39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6CCF6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BE1C5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72E10C">
        <w:start w:val="1"/>
        <w:numFmt w:val="lowerRoman"/>
        <w:lvlText w:val="%9."/>
        <w:lvlJc w:val="left"/>
        <w:pPr>
          <w:ind w:left="61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7"/>
    <w:lvlOverride w:ilvl="0">
      <w:startOverride w:val="3"/>
      <w:lvl w:ilvl="0" w:tplc="ACB4E12C">
        <w:start w:val="3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8CEB848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000E3A0">
        <w:start w:val="1"/>
        <w:numFmt w:val="lowerRoman"/>
        <w:lvlText w:val="%3."/>
        <w:lvlJc w:val="left"/>
        <w:pPr>
          <w:ind w:left="1866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0163990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42A21AE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6766362">
        <w:start w:val="1"/>
        <w:numFmt w:val="lowerRoman"/>
        <w:lvlText w:val="%6."/>
        <w:lvlJc w:val="left"/>
        <w:pPr>
          <w:ind w:left="4026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56CCF6C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7BE1C56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272E10C">
        <w:start w:val="1"/>
        <w:numFmt w:val="lowerRoman"/>
        <w:lvlText w:val="%9."/>
        <w:lvlJc w:val="left"/>
        <w:pPr>
          <w:ind w:left="6186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8">
    <w:abstractNumId w:val="7"/>
    <w:lvlOverride w:ilvl="0">
      <w:lvl w:ilvl="0" w:tplc="ACB4E12C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CEB848">
        <w:start w:val="1"/>
        <w:numFmt w:val="lowerLetter"/>
        <w:lvlText w:val="%2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00E3A0">
        <w:start w:val="1"/>
        <w:numFmt w:val="lowerRoman"/>
        <w:lvlText w:val="%3."/>
        <w:lvlJc w:val="left"/>
        <w:pPr>
          <w:ind w:left="1865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163990">
        <w:start w:val="1"/>
        <w:numFmt w:val="decimal"/>
        <w:lvlText w:val="%4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2A21AE">
        <w:start w:val="1"/>
        <w:numFmt w:val="lowerLetter"/>
        <w:lvlText w:val="%5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766362">
        <w:start w:val="1"/>
        <w:numFmt w:val="lowerRoman"/>
        <w:lvlText w:val="%6."/>
        <w:lvlJc w:val="left"/>
        <w:pPr>
          <w:ind w:left="4025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6CCF6C">
        <w:start w:val="1"/>
        <w:numFmt w:val="decimal"/>
        <w:lvlText w:val="%7."/>
        <w:lvlJc w:val="left"/>
        <w:pPr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BE1C56">
        <w:start w:val="1"/>
        <w:numFmt w:val="lowerLetter"/>
        <w:lvlText w:val="%8."/>
        <w:lvlJc w:val="left"/>
        <w:pPr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72E10C">
        <w:start w:val="1"/>
        <w:numFmt w:val="lowerRoman"/>
        <w:lvlText w:val="%9."/>
        <w:lvlJc w:val="left"/>
        <w:pPr>
          <w:ind w:left="6185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9">
    <w:abstractNumId w:val="58"/>
  </w:num>
  <w:num w:numId="80">
    <w:abstractNumId w:val="44"/>
  </w:num>
  <w:num w:numId="81">
    <w:abstractNumId w:val="25"/>
  </w:num>
  <w:num w:numId="82">
    <w:abstractNumId w:val="12"/>
  </w:num>
  <w:num w:numId="83">
    <w:abstractNumId w:val="32"/>
  </w:num>
  <w:num w:numId="84">
    <w:abstractNumId w:val="79"/>
  </w:num>
  <w:num w:numId="85">
    <w:abstractNumId w:val="12"/>
    <w:lvlOverride w:ilvl="0">
      <w:startOverride w:val="4"/>
    </w:lvlOverride>
  </w:num>
  <w:num w:numId="86">
    <w:abstractNumId w:val="67"/>
  </w:num>
  <w:num w:numId="87">
    <w:abstractNumId w:val="31"/>
  </w:num>
  <w:num w:numId="88">
    <w:abstractNumId w:val="12"/>
    <w:lvlOverride w:ilvl="0">
      <w:startOverride w:val="22"/>
    </w:lvlOverride>
  </w:num>
  <w:num w:numId="89">
    <w:abstractNumId w:val="84"/>
  </w:num>
  <w:num w:numId="90">
    <w:abstractNumId w:val="57"/>
  </w:num>
  <w:num w:numId="91">
    <w:abstractNumId w:val="83"/>
  </w:num>
  <w:num w:numId="92">
    <w:abstractNumId w:val="72"/>
  </w:num>
  <w:num w:numId="93">
    <w:abstractNumId w:val="57"/>
    <w:lvlOverride w:ilvl="0">
      <w:startOverride w:val="2"/>
      <w:lvl w:ilvl="0" w:tplc="80BACCD8">
        <w:start w:val="2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4E2D86">
        <w:start w:val="1"/>
        <w:numFmt w:val="lowerLetter"/>
        <w:lvlText w:val="%2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A40A294">
        <w:start w:val="1"/>
        <w:numFmt w:val="lowerRoman"/>
        <w:lvlText w:val="%3."/>
        <w:lvlJc w:val="left"/>
        <w:pPr>
          <w:tabs>
            <w:tab w:val="left" w:pos="284"/>
          </w:tabs>
          <w:ind w:left="172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858B354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3FA3E5C">
        <w:start w:val="1"/>
        <w:numFmt w:val="lowerLetter"/>
        <w:lvlText w:val="%5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1A2F54A">
        <w:start w:val="1"/>
        <w:numFmt w:val="lowerRoman"/>
        <w:lvlText w:val="%6."/>
        <w:lvlJc w:val="left"/>
        <w:pPr>
          <w:tabs>
            <w:tab w:val="left" w:pos="284"/>
          </w:tabs>
          <w:ind w:left="388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DE48446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A706376">
        <w:start w:val="1"/>
        <w:numFmt w:val="lowerLetter"/>
        <w:lvlText w:val="%8."/>
        <w:lvlJc w:val="left"/>
        <w:pPr>
          <w:tabs>
            <w:tab w:val="left" w:pos="284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3184A10">
        <w:start w:val="1"/>
        <w:numFmt w:val="lowerRoman"/>
        <w:lvlText w:val="%9."/>
        <w:lvlJc w:val="left"/>
        <w:pPr>
          <w:tabs>
            <w:tab w:val="left" w:pos="284"/>
          </w:tabs>
          <w:ind w:left="604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4">
    <w:abstractNumId w:val="24"/>
  </w:num>
  <w:num w:numId="95">
    <w:abstractNumId w:val="55"/>
    <w:lvlOverride w:ilvl="0">
      <w:lvl w:ilvl="0" w:tplc="507AE534">
        <w:start w:val="1"/>
        <w:numFmt w:val="decimal"/>
        <w:lvlText w:val="%1."/>
        <w:lvlJc w:val="left"/>
        <w:pPr>
          <w:ind w:left="502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6">
    <w:abstractNumId w:val="6"/>
  </w:num>
  <w:num w:numId="97">
    <w:abstractNumId w:val="78"/>
  </w:num>
  <w:num w:numId="98">
    <w:abstractNumId w:val="78"/>
    <w:lvlOverride w:ilvl="0">
      <w:lvl w:ilvl="0" w:tplc="78AA6C04">
        <w:start w:val="1"/>
        <w:numFmt w:val="decimal"/>
        <w:lvlText w:val="%1."/>
        <w:lvlJc w:val="left"/>
        <w:pPr>
          <w:ind w:left="49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54999E">
        <w:start w:val="1"/>
        <w:numFmt w:val="lowerLetter"/>
        <w:lvlText w:val="%2."/>
        <w:lvlJc w:val="left"/>
        <w:pPr>
          <w:ind w:left="121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DE6F7A">
        <w:start w:val="1"/>
        <w:numFmt w:val="lowerRoman"/>
        <w:lvlText w:val="%3."/>
        <w:lvlJc w:val="left"/>
        <w:pPr>
          <w:ind w:left="1939" w:hanging="31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0CDF78">
        <w:start w:val="1"/>
        <w:numFmt w:val="decimal"/>
        <w:lvlText w:val="%4."/>
        <w:lvlJc w:val="left"/>
        <w:pPr>
          <w:ind w:left="265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3CD078">
        <w:start w:val="1"/>
        <w:numFmt w:val="lowerLetter"/>
        <w:lvlText w:val="%5."/>
        <w:lvlJc w:val="left"/>
        <w:pPr>
          <w:ind w:left="337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68AEE4">
        <w:start w:val="1"/>
        <w:numFmt w:val="lowerRoman"/>
        <w:lvlText w:val="%6."/>
        <w:lvlJc w:val="left"/>
        <w:pPr>
          <w:ind w:left="4099" w:hanging="31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D24CD2">
        <w:start w:val="1"/>
        <w:numFmt w:val="decimal"/>
        <w:lvlText w:val="%7."/>
        <w:lvlJc w:val="left"/>
        <w:pPr>
          <w:ind w:left="481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E4D036">
        <w:start w:val="1"/>
        <w:numFmt w:val="lowerLetter"/>
        <w:lvlText w:val="%8."/>
        <w:lvlJc w:val="left"/>
        <w:pPr>
          <w:ind w:left="5539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CC9FA4">
        <w:start w:val="1"/>
        <w:numFmt w:val="lowerRoman"/>
        <w:lvlText w:val="%9."/>
        <w:lvlJc w:val="left"/>
        <w:pPr>
          <w:ind w:left="6259" w:hanging="31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>
    <w:abstractNumId w:val="47"/>
  </w:num>
  <w:num w:numId="100">
    <w:abstractNumId w:val="69"/>
  </w:num>
  <w:num w:numId="101">
    <w:abstractNumId w:val="78"/>
    <w:lvlOverride w:ilvl="0">
      <w:startOverride w:val="13"/>
    </w:lvlOverride>
  </w:num>
  <w:num w:numId="102">
    <w:abstractNumId w:val="64"/>
  </w:num>
  <w:num w:numId="103">
    <w:abstractNumId w:val="0"/>
  </w:num>
  <w:num w:numId="104">
    <w:abstractNumId w:val="0"/>
    <w:lvlOverride w:ilvl="0">
      <w:lvl w:ilvl="0" w:tplc="13AAC18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0148FE0">
        <w:start w:val="1"/>
        <w:numFmt w:val="lowerLetter"/>
        <w:lvlText w:val="%2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505D9A">
        <w:start w:val="1"/>
        <w:numFmt w:val="lowerRoman"/>
        <w:lvlText w:val="%3."/>
        <w:lvlJc w:val="left"/>
        <w:pPr>
          <w:tabs>
            <w:tab w:val="left" w:pos="284"/>
          </w:tabs>
          <w:ind w:left="172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820FFE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8B425D0">
        <w:start w:val="1"/>
        <w:numFmt w:val="lowerLetter"/>
        <w:lvlText w:val="%5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80A2C2">
        <w:start w:val="1"/>
        <w:numFmt w:val="lowerRoman"/>
        <w:lvlText w:val="%6."/>
        <w:lvlJc w:val="left"/>
        <w:pPr>
          <w:tabs>
            <w:tab w:val="left" w:pos="284"/>
          </w:tabs>
          <w:ind w:left="388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2C4156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E2D53C">
        <w:start w:val="1"/>
        <w:numFmt w:val="lowerLetter"/>
        <w:lvlText w:val="%8."/>
        <w:lvlJc w:val="left"/>
        <w:pPr>
          <w:tabs>
            <w:tab w:val="left" w:pos="284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CA0930">
        <w:start w:val="1"/>
        <w:numFmt w:val="lowerRoman"/>
        <w:lvlText w:val="%9."/>
        <w:lvlJc w:val="left"/>
        <w:pPr>
          <w:tabs>
            <w:tab w:val="left" w:pos="284"/>
          </w:tabs>
          <w:ind w:left="604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5">
    <w:abstractNumId w:val="16"/>
  </w:num>
  <w:num w:numId="106">
    <w:abstractNumId w:val="50"/>
  </w:num>
  <w:num w:numId="107">
    <w:abstractNumId w:val="76"/>
  </w:num>
  <w:num w:numId="108">
    <w:abstractNumId w:val="43"/>
  </w:num>
  <w:num w:numId="109">
    <w:abstractNumId w:val="54"/>
  </w:num>
  <w:num w:numId="110">
    <w:abstractNumId w:val="4"/>
  </w:num>
  <w:num w:numId="111">
    <w:abstractNumId w:val="11"/>
  </w:num>
  <w:num w:numId="112">
    <w:abstractNumId w:val="40"/>
  </w:num>
  <w:num w:numId="113">
    <w:abstractNumId w:val="82"/>
  </w:num>
  <w:num w:numId="114">
    <w:abstractNumId w:val="70"/>
  </w:num>
  <w:num w:numId="115">
    <w:abstractNumId w:val="59"/>
  </w:num>
  <w:num w:numId="116">
    <w:abstractNumId w:val="23"/>
  </w:num>
  <w:num w:numId="117">
    <w:abstractNumId w:val="41"/>
  </w:num>
  <w:num w:numId="118">
    <w:abstractNumId w:val="56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21"/>
    <w:rsid w:val="001861C8"/>
    <w:rsid w:val="001C5221"/>
    <w:rsid w:val="00364FEF"/>
    <w:rsid w:val="003E2CBC"/>
    <w:rsid w:val="0040578A"/>
    <w:rsid w:val="00781948"/>
    <w:rsid w:val="0078441F"/>
    <w:rsid w:val="007A274B"/>
    <w:rsid w:val="007C70AF"/>
    <w:rsid w:val="007D73E5"/>
    <w:rsid w:val="008150D0"/>
    <w:rsid w:val="00894C59"/>
    <w:rsid w:val="00921F48"/>
    <w:rsid w:val="00946DFC"/>
    <w:rsid w:val="00B36D84"/>
    <w:rsid w:val="00C82D86"/>
    <w:rsid w:val="00CE5E6E"/>
    <w:rsid w:val="00D62FEE"/>
    <w:rsid w:val="00D66F21"/>
    <w:rsid w:val="00E67DF9"/>
    <w:rsid w:val="00F2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7BEC3-C22D-40FE-84AA-0EE6D299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paragraph" w:styleId="Nagwek2">
    <w:name w:val="heading 2"/>
    <w:next w:val="Normalny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numbering" w:customStyle="1" w:styleId="Zaimportowanystyl7">
    <w:name w:val="Zaimportowany styl 7"/>
    <w:pPr>
      <w:numPr>
        <w:numId w:val="16"/>
      </w:numPr>
    </w:pPr>
  </w:style>
  <w:style w:type="paragraph" w:styleId="Akapitzlist">
    <w:name w:val="List Paragraph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8">
    <w:name w:val="Zaimportowany styl 8"/>
    <w:pPr>
      <w:numPr>
        <w:numId w:val="20"/>
      </w:numPr>
    </w:pPr>
  </w:style>
  <w:style w:type="numbering" w:customStyle="1" w:styleId="Zaimportowanystyl9">
    <w:name w:val="Zaimportowany styl 9"/>
    <w:pPr>
      <w:numPr>
        <w:numId w:val="23"/>
      </w:numPr>
    </w:pPr>
  </w:style>
  <w:style w:type="numbering" w:customStyle="1" w:styleId="Zaimportowanystyl10">
    <w:name w:val="Zaimportowany styl 10"/>
    <w:pPr>
      <w:numPr>
        <w:numId w:val="25"/>
      </w:numPr>
    </w:pPr>
  </w:style>
  <w:style w:type="numbering" w:customStyle="1" w:styleId="Zaimportowanystyl11">
    <w:name w:val="Zaimportowany styl 11"/>
    <w:pPr>
      <w:numPr>
        <w:numId w:val="28"/>
      </w:numPr>
    </w:pPr>
  </w:style>
  <w:style w:type="numbering" w:customStyle="1" w:styleId="Zaimportowanystyl12">
    <w:name w:val="Zaimportowany styl 12"/>
    <w:pPr>
      <w:numPr>
        <w:numId w:val="31"/>
      </w:numPr>
    </w:p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4">
    <w:name w:val="Zaimportowany styl 14"/>
    <w:pPr>
      <w:numPr>
        <w:numId w:val="38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2"/>
      </w:numPr>
    </w:pPr>
  </w:style>
  <w:style w:type="numbering" w:customStyle="1" w:styleId="Zaimportowanystyl17">
    <w:name w:val="Zaimportowany styl 17"/>
    <w:pPr>
      <w:numPr>
        <w:numId w:val="44"/>
      </w:numPr>
    </w:pPr>
  </w:style>
  <w:style w:type="numbering" w:customStyle="1" w:styleId="Zaimportowanystyl18">
    <w:name w:val="Zaimportowany styl 18"/>
    <w:pPr>
      <w:numPr>
        <w:numId w:val="46"/>
      </w:numPr>
    </w:pPr>
  </w:style>
  <w:style w:type="numbering" w:customStyle="1" w:styleId="Zaimportowanystyl19">
    <w:name w:val="Zaimportowany styl 19"/>
    <w:pPr>
      <w:numPr>
        <w:numId w:val="51"/>
      </w:numPr>
    </w:pPr>
  </w:style>
  <w:style w:type="numbering" w:customStyle="1" w:styleId="Zaimportowanystyl20">
    <w:name w:val="Zaimportowany styl 20"/>
    <w:pPr>
      <w:numPr>
        <w:numId w:val="55"/>
      </w:numPr>
    </w:pPr>
  </w:style>
  <w:style w:type="numbering" w:customStyle="1" w:styleId="Zaimportowanystyl21">
    <w:name w:val="Zaimportowany styl 21"/>
    <w:pPr>
      <w:numPr>
        <w:numId w:val="58"/>
      </w:numPr>
    </w:pPr>
  </w:style>
  <w:style w:type="numbering" w:customStyle="1" w:styleId="Zaimportowanystyl22">
    <w:name w:val="Zaimportowany styl 22"/>
    <w:pPr>
      <w:numPr>
        <w:numId w:val="61"/>
      </w:numPr>
    </w:p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numbering" w:customStyle="1" w:styleId="Zaimportowanystyl23">
    <w:name w:val="Zaimportowany styl 23"/>
    <w:pPr>
      <w:numPr>
        <w:numId w:val="64"/>
      </w:numPr>
    </w:pPr>
  </w:style>
  <w:style w:type="numbering" w:customStyle="1" w:styleId="Zaimportowanystyl24">
    <w:name w:val="Zaimportowany styl 24"/>
    <w:pPr>
      <w:numPr>
        <w:numId w:val="67"/>
      </w:numPr>
    </w:pPr>
  </w:style>
  <w:style w:type="numbering" w:customStyle="1" w:styleId="Zaimportowanystyl25">
    <w:name w:val="Zaimportowany styl 25"/>
    <w:pPr>
      <w:numPr>
        <w:numId w:val="71"/>
      </w:numPr>
    </w:pPr>
  </w:style>
  <w:style w:type="numbering" w:customStyle="1" w:styleId="Zaimportowanystyl26">
    <w:name w:val="Zaimportowany styl 26"/>
    <w:pPr>
      <w:numPr>
        <w:numId w:val="74"/>
      </w:numPr>
    </w:pPr>
  </w:style>
  <w:style w:type="numbering" w:customStyle="1" w:styleId="Zaimportowanystyl27">
    <w:name w:val="Zaimportowany styl 27"/>
    <w:pPr>
      <w:numPr>
        <w:numId w:val="79"/>
      </w:numPr>
    </w:pPr>
  </w:style>
  <w:style w:type="numbering" w:customStyle="1" w:styleId="Zaimportowanystyl28">
    <w:name w:val="Zaimportowany styl 28"/>
    <w:pPr>
      <w:numPr>
        <w:numId w:val="81"/>
      </w:numPr>
    </w:pPr>
  </w:style>
  <w:style w:type="numbering" w:customStyle="1" w:styleId="Zaimportowanystyl29">
    <w:name w:val="Zaimportowany styl 29"/>
    <w:pPr>
      <w:numPr>
        <w:numId w:val="83"/>
      </w:numPr>
    </w:pPr>
  </w:style>
  <w:style w:type="numbering" w:customStyle="1" w:styleId="Zaimportowanystyl30">
    <w:name w:val="Zaimportowany styl 30"/>
    <w:pPr>
      <w:numPr>
        <w:numId w:val="86"/>
      </w:numPr>
    </w:pPr>
  </w:style>
  <w:style w:type="numbering" w:customStyle="1" w:styleId="Zaimportowanystyl31">
    <w:name w:val="Zaimportowany styl 31"/>
    <w:pPr>
      <w:numPr>
        <w:numId w:val="89"/>
      </w:numPr>
    </w:pPr>
  </w:style>
  <w:style w:type="numbering" w:customStyle="1" w:styleId="Zaimportowanystyl32">
    <w:name w:val="Zaimportowany styl 32"/>
    <w:pPr>
      <w:numPr>
        <w:numId w:val="91"/>
      </w:numPr>
    </w:pPr>
  </w:style>
  <w:style w:type="numbering" w:customStyle="1" w:styleId="Zaimportowanystyl33">
    <w:name w:val="Zaimportowany styl 33"/>
    <w:pPr>
      <w:numPr>
        <w:numId w:val="94"/>
      </w:numPr>
    </w:pPr>
  </w:style>
  <w:style w:type="numbering" w:customStyle="1" w:styleId="Zaimportowanystyl34">
    <w:name w:val="Zaimportowany styl 34"/>
    <w:pPr>
      <w:numPr>
        <w:numId w:val="96"/>
      </w:numPr>
    </w:pPr>
  </w:style>
  <w:style w:type="numbering" w:customStyle="1" w:styleId="Zaimportowanystyl35">
    <w:name w:val="Zaimportowany styl 35"/>
    <w:pPr>
      <w:numPr>
        <w:numId w:val="99"/>
      </w:numPr>
    </w:pPr>
  </w:style>
  <w:style w:type="numbering" w:customStyle="1" w:styleId="Zaimportowanystyl36">
    <w:name w:val="Zaimportowany styl 36"/>
    <w:pPr>
      <w:numPr>
        <w:numId w:val="102"/>
      </w:numPr>
    </w:pPr>
  </w:style>
  <w:style w:type="numbering" w:customStyle="1" w:styleId="Zaimportowanystyl37">
    <w:name w:val="Zaimportowany styl 37"/>
    <w:pPr>
      <w:numPr>
        <w:numId w:val="105"/>
      </w:numPr>
    </w:pPr>
  </w:style>
  <w:style w:type="character" w:customStyle="1" w:styleId="Hyperlink1">
    <w:name w:val="Hyperlink.1"/>
    <w:basedOn w:val="Brak"/>
  </w:style>
  <w:style w:type="numbering" w:customStyle="1" w:styleId="Zaimportowanystyl38">
    <w:name w:val="Zaimportowany styl 38"/>
    <w:pPr>
      <w:numPr>
        <w:numId w:val="107"/>
      </w:numPr>
    </w:pPr>
  </w:style>
  <w:style w:type="numbering" w:customStyle="1" w:styleId="Zaimportowanystyl39">
    <w:name w:val="Zaimportowany styl 39"/>
    <w:pPr>
      <w:numPr>
        <w:numId w:val="10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arp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pw.parp.gov.pl/tworzenie-sieciowych-produktow-przez-msp/poddzialanie-1-3-2-tworzenie-sieciowych-produktow-przez-ms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26</Pages>
  <Words>8319</Words>
  <Characters>49919</Characters>
  <Application>Microsoft Office Word</Application>
  <DocSecurity>0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1.3.2 POPW</vt:lpstr>
    </vt:vector>
  </TitlesOfParts>
  <Company>Polska Agencja Rozwoju Przedsiębiorczości</Company>
  <LinksUpToDate>false</LinksUpToDate>
  <CharactersWithSpaces>58122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1.3.2 POPW</dc:title>
  <dc:creator>Józefowicz Katarzyna</dc:creator>
  <cp:keywords>PARP,PL</cp:keywords>
  <cp:lastModifiedBy>Weronika Błaszczak</cp:lastModifiedBy>
  <cp:revision>20</cp:revision>
  <dcterms:created xsi:type="dcterms:W3CDTF">2020-04-03T11:35:00Z</dcterms:created>
  <dcterms:modified xsi:type="dcterms:W3CDTF">2020-04-08T13:35:00Z</dcterms:modified>
</cp:coreProperties>
</file>