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836A1" w14:textId="77777777" w:rsidR="001C5221" w:rsidRDefault="0078441F">
      <w:pPr>
        <w:pStyle w:val="Tekstpodstawowy"/>
        <w:spacing w:after="0" w:line="276" w:lineRule="auto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 wp14:anchorId="09BFD6FA" wp14:editId="1FA6E154">
            <wp:extent cx="5657850" cy="609600"/>
            <wp:effectExtent l="0" t="0" r="0" b="0"/>
            <wp:docPr id="1073741825" name="officeArt object" descr="Ciąg z logami: Fundusze Europejskie Polska Wschodnia, Rzeczpospolita Polska, PARP Grupa PFR, Unia Europejska Europejski Fundusz Rozwoju Regionaln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iąg z logami: Fundusze Europejskie Polska Wschodnia, Rzeczpospolita Polska, PARP Grupa PFR, Unia Europejska Europejski Fundusz Rozwoju Regionalnego" descr="Ciąg z logami: Fundusze Europejskie Polska Wschodnia, Rzeczpospolita Polska, PARP Grupa PFR, Unia Europejska Europejski Fundusz Rozwoju Regionalnego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7D49FE6" w14:textId="77777777" w:rsidR="001C5221" w:rsidRDefault="0078441F">
      <w:pPr>
        <w:pStyle w:val="Tekstpodstawowy"/>
        <w:spacing w:before="240"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Polska Agencja Rozwoju Przedsiębiorczości</w:t>
      </w:r>
    </w:p>
    <w:p w14:paraId="5306F320" w14:textId="77777777" w:rsidR="001C5221" w:rsidRDefault="0078441F">
      <w:pPr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ul. Pańska 81/83</w:t>
      </w:r>
    </w:p>
    <w:p w14:paraId="4CA9F1C9" w14:textId="77777777" w:rsidR="001C5221" w:rsidRDefault="0078441F">
      <w:pPr>
        <w:spacing w:after="6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00-834 Warszawa</w:t>
      </w:r>
    </w:p>
    <w:p w14:paraId="2EAD79B9" w14:textId="77777777" w:rsidR="001C5221" w:rsidRDefault="0078441F">
      <w:pPr>
        <w:pStyle w:val="Nagwek1"/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Regulamin konkursu</w:t>
      </w:r>
    </w:p>
    <w:p w14:paraId="50236F8B" w14:textId="77777777" w:rsidR="001C5221" w:rsidRDefault="0078441F">
      <w:pPr>
        <w:pStyle w:val="Nagwek1"/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 ramach</w:t>
      </w:r>
    </w:p>
    <w:p w14:paraId="7A7B1051" w14:textId="77777777" w:rsidR="001C5221" w:rsidRDefault="0078441F">
      <w:pPr>
        <w:pStyle w:val="Nagwek1"/>
        <w:spacing w:before="0" w:after="600" w:line="276" w:lineRule="auto"/>
      </w:pPr>
      <w:r>
        <w:rPr>
          <w:rFonts w:ascii="Calibri" w:hAnsi="Calibri"/>
          <w:sz w:val="28"/>
          <w:szCs w:val="28"/>
        </w:rPr>
        <w:t>Programu Operacyjnego Polska Wschodnia 2014-2020</w:t>
      </w:r>
    </w:p>
    <w:p w14:paraId="5E2DF80C" w14:textId="77777777" w:rsidR="001C5221" w:rsidRDefault="0078441F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oś priorytetowa I: Przedsiębiorcza Polska Wschodnia</w:t>
      </w:r>
    </w:p>
    <w:p w14:paraId="2491D1AF" w14:textId="77777777" w:rsidR="001C5221" w:rsidRDefault="0078441F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działanie 1.3 Ponadregionalne powiązania kooperacyjne</w:t>
      </w:r>
    </w:p>
    <w:p w14:paraId="0925DA94" w14:textId="77777777" w:rsidR="001C5221" w:rsidRDefault="0078441F">
      <w:pPr>
        <w:spacing w:after="1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poddziałanie 1.3.2 Tworzenie sieciowych produktów przez MŚP</w:t>
      </w:r>
    </w:p>
    <w:p w14:paraId="0C3F157E" w14:textId="77777777" w:rsidR="001C5221" w:rsidRDefault="0078441F">
      <w:pPr>
        <w:spacing w:after="600" w:line="276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Kwota przeznaczona na dofinansowanie projektów w konkursie: 420 000 000,00 zł</w:t>
      </w:r>
    </w:p>
    <w:p w14:paraId="6B283F50" w14:textId="77777777" w:rsidR="001C5221" w:rsidRDefault="0078441F">
      <w:pPr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Nr konkursu: </w:t>
      </w:r>
      <w:r>
        <w:rPr>
          <w:rFonts w:ascii="Calibri" w:hAnsi="Calibri"/>
          <w:b/>
          <w:bCs/>
        </w:rPr>
        <w:t>5</w:t>
      </w:r>
    </w:p>
    <w:p w14:paraId="0211D747" w14:textId="77777777" w:rsidR="001C5221" w:rsidRDefault="0078441F">
      <w:pPr>
        <w:spacing w:after="600" w:line="276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Rok: 2019</w:t>
      </w:r>
    </w:p>
    <w:p w14:paraId="017C71F9" w14:textId="77777777" w:rsidR="001C5221" w:rsidRDefault="001C5221">
      <w:pPr>
        <w:spacing w:line="276" w:lineRule="auto"/>
        <w:rPr>
          <w:rFonts w:ascii="Calibri" w:eastAsia="Calibri" w:hAnsi="Calibri" w:cs="Calibri"/>
          <w:b/>
          <w:bCs/>
          <w:i/>
          <w:iCs/>
        </w:rPr>
      </w:pPr>
    </w:p>
    <w:p w14:paraId="1E2D1343" w14:textId="77777777" w:rsidR="001C5221" w:rsidRDefault="0078441F">
      <w:pPr>
        <w:spacing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hAnsi="Calibri"/>
          <w:i/>
          <w:iCs/>
        </w:rPr>
        <w:t>data zatwierdzenia regulaminu przez IZ</w:t>
      </w:r>
    </w:p>
    <w:p w14:paraId="4248A57C" w14:textId="77777777" w:rsidR="001C5221" w:rsidRDefault="0078441F">
      <w:pPr>
        <w:pStyle w:val="Nagwek2"/>
        <w:spacing w:after="240" w:line="276" w:lineRule="auto"/>
      </w:pPr>
      <w:r>
        <w:rPr>
          <w:rFonts w:ascii="Arial Unicode MS" w:eastAsia="Arial Unicode MS" w:hAnsi="Arial Unicode MS" w:cs="Arial Unicode MS"/>
          <w:b w:val="0"/>
          <w:bCs w:val="0"/>
          <w:i w:val="0"/>
          <w:iCs w:val="0"/>
          <w:sz w:val="24"/>
          <w:szCs w:val="24"/>
        </w:rPr>
        <w:br w:type="page"/>
      </w:r>
    </w:p>
    <w:p w14:paraId="78015CEC" w14:textId="77777777" w:rsidR="001C5221" w:rsidRDefault="0078441F">
      <w:pPr>
        <w:pStyle w:val="Nagwek2"/>
        <w:spacing w:after="240" w:line="276" w:lineRule="auto"/>
        <w:rPr>
          <w:rFonts w:ascii="Calibri" w:eastAsia="Calibri" w:hAnsi="Calibri" w:cs="Calibri"/>
          <w:i w:val="0"/>
          <w:iCs w:val="0"/>
        </w:rPr>
      </w:pPr>
      <w:r>
        <w:rPr>
          <w:rFonts w:ascii="Calibri" w:hAnsi="Calibri"/>
          <w:i w:val="0"/>
          <w:iCs w:val="0"/>
        </w:rPr>
        <w:lastRenderedPageBreak/>
        <w:t>§1. Podstawy prawne</w:t>
      </w:r>
    </w:p>
    <w:p w14:paraId="6756CE35" w14:textId="77777777" w:rsidR="001C5221" w:rsidRDefault="0078441F">
      <w:pPr>
        <w:numPr>
          <w:ilvl w:val="0"/>
          <w:numId w:val="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Niniejszy regulamin został przygotowany na podstawie:</w:t>
      </w:r>
    </w:p>
    <w:p w14:paraId="0831A67E" w14:textId="77777777" w:rsidR="001C5221" w:rsidRDefault="0078441F">
      <w:pPr>
        <w:numPr>
          <w:ilvl w:val="0"/>
          <w:numId w:val="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art. 41 ust. 1 ustawy z dnia 11 lipca 2014 r. o zasadach realizacji programów w zakresie polityki spójności finansowanych w perspektywie finansowej 2014-2020 (Dz. U. z 2018 r. poz. 1431, z późn. zm.), zwanej </w:t>
      </w:r>
      <w:r>
        <w:rPr>
          <w:rFonts w:ascii="Calibri" w:hAnsi="Calibri"/>
          <w:b/>
          <w:bCs/>
        </w:rPr>
        <w:t>„ustawą wdrożeniową”</w:t>
      </w:r>
      <w:r>
        <w:rPr>
          <w:rFonts w:ascii="Calibri" w:hAnsi="Calibri"/>
        </w:rPr>
        <w:t xml:space="preserve">; </w:t>
      </w:r>
    </w:p>
    <w:p w14:paraId="73CCDE14" w14:textId="77777777" w:rsidR="001C5221" w:rsidRDefault="0078441F">
      <w:pPr>
        <w:numPr>
          <w:ilvl w:val="0"/>
          <w:numId w:val="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Wytycznych w zakresie trybów wyboru projektów na lata 2014-2020;</w:t>
      </w:r>
    </w:p>
    <w:p w14:paraId="157088D9" w14:textId="77777777" w:rsidR="001C5221" w:rsidRDefault="0078441F">
      <w:pPr>
        <w:numPr>
          <w:ilvl w:val="0"/>
          <w:numId w:val="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porozumienia z dnia 28 kwietnia 2015 r. w sprawie powierzenia realizacji Programu Operacyjnego Polska Wschodnia 2014-2020 w zakresie osi priorytetowych: I Przedsiębiorcza Polska Wschodnia i  II Nowoczesna Infrastruktura Transportowa zawartego pomiędzy Ministrem Infrastruktury i Rozwoju a Polską Agencją Rozwoju Przedsiębiorczości, z późn. zm.</w:t>
      </w:r>
    </w:p>
    <w:p w14:paraId="193EAFBF" w14:textId="77777777" w:rsidR="001C5221" w:rsidRDefault="0078441F">
      <w:pPr>
        <w:numPr>
          <w:ilvl w:val="0"/>
          <w:numId w:val="5"/>
        </w:numPr>
        <w:spacing w:before="120" w:after="120" w:line="276" w:lineRule="auto"/>
        <w:rPr>
          <w:rFonts w:ascii="Calibri" w:hAnsi="Calibri"/>
        </w:rPr>
      </w:pPr>
      <w:r>
        <w:rPr>
          <w:rFonts w:ascii="Calibri" w:hAnsi="Calibri"/>
        </w:rPr>
        <w:t>Poddziałanie realizowane jest w szczególności zgodnie z następującymi regulacjami krajowymi:</w:t>
      </w:r>
    </w:p>
    <w:p w14:paraId="14E8EDBC" w14:textId="77777777" w:rsidR="001C5221" w:rsidRDefault="0078441F">
      <w:pPr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Programem Operacyjnym Polska Wschodnia 2014-2020, zatwierdzonym decyzją Komisji Europejskiej z dnia 16 grudnia 2014 r., z późn. zm., zwanym „</w:t>
      </w:r>
      <w:r>
        <w:rPr>
          <w:rFonts w:ascii="Calibri" w:hAnsi="Calibri"/>
          <w:b/>
          <w:bCs/>
        </w:rPr>
        <w:t>POPW”</w:t>
      </w:r>
      <w:r>
        <w:rPr>
          <w:rFonts w:ascii="Calibri" w:hAnsi="Calibri"/>
        </w:rPr>
        <w:t>;</w:t>
      </w:r>
    </w:p>
    <w:p w14:paraId="46F4F361" w14:textId="77777777" w:rsidR="001C5221" w:rsidRDefault="0078441F">
      <w:pPr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Szczegółowym Opisem Osi Priorytetowych Programu Operacyjnego Polska Wschodnia 2014-2020, zwanym </w:t>
      </w:r>
      <w:r>
        <w:rPr>
          <w:rFonts w:ascii="Calibri" w:hAnsi="Calibri"/>
          <w:b/>
          <w:bCs/>
        </w:rPr>
        <w:t>„SZOOP”</w:t>
      </w:r>
      <w:r>
        <w:rPr>
          <w:rFonts w:ascii="Calibri" w:hAnsi="Calibri"/>
        </w:rPr>
        <w:t>;</w:t>
      </w:r>
    </w:p>
    <w:p w14:paraId="3E299EEA" w14:textId="77777777"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Umową Partnerstwa przyjętą przez Radę Ministrów w dniu 5 lipca 2017 r., zatwierdzoną przez Komisję Europejską w dniu 23 października 2017 r.;</w:t>
      </w:r>
    </w:p>
    <w:p w14:paraId="5DC24635" w14:textId="147EBE26" w:rsidR="001C5221" w:rsidRDefault="0078441F">
      <w:pPr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ustawą z dnia 9 listopada 2000 r. o utworzeniu Polskiej Agencji Rozwoju Przedsiębiorczości (Dz. U. z 20</w:t>
      </w:r>
      <w:r w:rsidR="00263C08">
        <w:rPr>
          <w:rFonts w:ascii="Calibri" w:hAnsi="Calibri"/>
        </w:rPr>
        <w:t>20</w:t>
      </w:r>
      <w:r>
        <w:rPr>
          <w:rFonts w:ascii="Calibri" w:hAnsi="Calibri"/>
        </w:rPr>
        <w:t xml:space="preserve"> r., poz. </w:t>
      </w:r>
      <w:r w:rsidR="00263C08">
        <w:rPr>
          <w:rFonts w:ascii="Calibri" w:hAnsi="Calibri"/>
        </w:rPr>
        <w:t>299</w:t>
      </w:r>
      <w:r>
        <w:rPr>
          <w:rFonts w:ascii="Calibri" w:hAnsi="Calibri"/>
        </w:rPr>
        <w:t xml:space="preserve">), zwaną </w:t>
      </w:r>
      <w:r>
        <w:rPr>
          <w:rFonts w:ascii="Calibri" w:hAnsi="Calibri"/>
          <w:b/>
          <w:bCs/>
        </w:rPr>
        <w:t>„ustawą o PARP”</w:t>
      </w:r>
      <w:r>
        <w:rPr>
          <w:rFonts w:ascii="Calibri" w:hAnsi="Calibri"/>
        </w:rPr>
        <w:t>;</w:t>
      </w:r>
    </w:p>
    <w:p w14:paraId="010C38DF" w14:textId="169925D3"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ustawą z dnia 27 sierpnia 2009 r. o finansach publicznych (Dz. U. z 201</w:t>
      </w:r>
      <w:r w:rsidR="00263C08">
        <w:rPr>
          <w:rFonts w:ascii="Calibri" w:hAnsi="Calibri"/>
        </w:rPr>
        <w:t>9</w:t>
      </w:r>
      <w:r>
        <w:rPr>
          <w:rFonts w:ascii="Calibri" w:hAnsi="Calibri"/>
        </w:rPr>
        <w:t xml:space="preserve"> r. poz. </w:t>
      </w:r>
      <w:r w:rsidR="00263C08">
        <w:rPr>
          <w:rFonts w:ascii="Calibri" w:hAnsi="Calibri"/>
        </w:rPr>
        <w:t>869</w:t>
      </w:r>
      <w:r>
        <w:rPr>
          <w:rFonts w:ascii="Calibri" w:hAnsi="Calibri"/>
        </w:rPr>
        <w:t xml:space="preserve">, z późn. zm.); </w:t>
      </w:r>
    </w:p>
    <w:p w14:paraId="4CEE7FC7" w14:textId="2B8F5A1E"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ustawą z dnia 30 kwietnia 2004 r. o postępowaniu w sprawach dotyczących pomocy publicznej (Dz. U. z 20</w:t>
      </w:r>
      <w:r w:rsidR="00225205">
        <w:rPr>
          <w:rFonts w:ascii="Calibri" w:hAnsi="Calibri"/>
        </w:rPr>
        <w:t>20</w:t>
      </w:r>
      <w:r>
        <w:rPr>
          <w:rFonts w:ascii="Calibri" w:hAnsi="Calibri"/>
        </w:rPr>
        <w:t xml:space="preserve"> r. poz. </w:t>
      </w:r>
      <w:r w:rsidR="00225205">
        <w:rPr>
          <w:rFonts w:ascii="Calibri" w:hAnsi="Calibri"/>
        </w:rPr>
        <w:t>708</w:t>
      </w:r>
      <w:r>
        <w:rPr>
          <w:rFonts w:ascii="Calibri" w:hAnsi="Calibri"/>
        </w:rPr>
        <w:t xml:space="preserve">); </w:t>
      </w:r>
    </w:p>
    <w:p w14:paraId="74A8DB0B" w14:textId="2E7AF4E4"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ustawą z dnia 17 lutego 2005 r. o informatyzacji działalności podmiotów realizujących zadania publiczne (Dz. U. z 20</w:t>
      </w:r>
      <w:r w:rsidR="00263C08">
        <w:rPr>
          <w:rFonts w:ascii="Calibri" w:hAnsi="Calibri"/>
        </w:rPr>
        <w:t>20</w:t>
      </w:r>
      <w:r>
        <w:rPr>
          <w:rFonts w:ascii="Calibri" w:hAnsi="Calibri"/>
        </w:rPr>
        <w:t xml:space="preserve"> r. poz. </w:t>
      </w:r>
      <w:r w:rsidR="00263C08">
        <w:rPr>
          <w:rFonts w:ascii="Calibri" w:hAnsi="Calibri"/>
        </w:rPr>
        <w:t>346</w:t>
      </w:r>
      <w:r>
        <w:rPr>
          <w:rFonts w:ascii="Calibri" w:hAnsi="Calibri"/>
        </w:rPr>
        <w:t>, z późn. zm.);</w:t>
      </w:r>
    </w:p>
    <w:p w14:paraId="0CE833EE" w14:textId="448C504C" w:rsidR="001C5221" w:rsidRDefault="0078441F">
      <w:pPr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rozporządzeniem Ministra Infrastruktury i Rozwoju z dnia 13 lipca 2015 r. w sprawie udzielania przez Polską Agencję Rozwoju Przedsiębiorczości pomocy finansowej w ramach osi I Przedsiębiorcza Polska Wschodnia Programu Operacyjnego Polska Wschodnia 2014-2020 (Dz. U. z 20</w:t>
      </w:r>
      <w:r w:rsidR="00263C08">
        <w:rPr>
          <w:rFonts w:ascii="Calibri" w:hAnsi="Calibri"/>
        </w:rPr>
        <w:t>20</w:t>
      </w:r>
      <w:r>
        <w:rPr>
          <w:rFonts w:ascii="Calibri" w:hAnsi="Calibri"/>
        </w:rPr>
        <w:t xml:space="preserve"> r. poz. </w:t>
      </w:r>
      <w:r w:rsidR="00263C08">
        <w:rPr>
          <w:rFonts w:ascii="Calibri" w:hAnsi="Calibri"/>
        </w:rPr>
        <w:t>126</w:t>
      </w:r>
      <w:r>
        <w:rPr>
          <w:rFonts w:ascii="Calibri" w:hAnsi="Calibri"/>
        </w:rPr>
        <w:t xml:space="preserve">), zwanym </w:t>
      </w:r>
      <w:r>
        <w:rPr>
          <w:rFonts w:ascii="Calibri" w:hAnsi="Calibri"/>
          <w:b/>
          <w:bCs/>
        </w:rPr>
        <w:t>„rozporządzeniem”</w:t>
      </w:r>
      <w:r>
        <w:rPr>
          <w:rFonts w:ascii="Calibri" w:hAnsi="Calibri"/>
        </w:rPr>
        <w:t>;</w:t>
      </w:r>
    </w:p>
    <w:p w14:paraId="431CD98C" w14:textId="77777777"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wytycznymi w zakresie kwalifikowalności wydatków w ramach Europejskiego Funduszu Rozwoju Regionalnego, Europejskiego Funduszu Społecznego oraz Funduszu Spójności na lata 2014-2020, zwanymi „</w:t>
      </w:r>
      <w:r>
        <w:rPr>
          <w:rFonts w:ascii="Calibri" w:hAnsi="Calibri"/>
          <w:b/>
          <w:bCs/>
        </w:rPr>
        <w:t>wytycznymi w zakresie kwalifikowalności</w:t>
      </w:r>
      <w:r>
        <w:rPr>
          <w:rFonts w:ascii="Calibri" w:hAnsi="Calibri"/>
        </w:rPr>
        <w:t>”.</w:t>
      </w:r>
    </w:p>
    <w:p w14:paraId="44D2B084" w14:textId="77777777" w:rsidR="001C5221" w:rsidRDefault="0078441F">
      <w:pPr>
        <w:numPr>
          <w:ilvl w:val="0"/>
          <w:numId w:val="8"/>
        </w:numPr>
        <w:spacing w:before="120" w:after="120"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>Poddziałanie realizowane jest w szczególności zgodnie z następującymi regulacjami unijnymi:</w:t>
      </w:r>
    </w:p>
    <w:p w14:paraId="61CA9DEE" w14:textId="77777777"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rozporządzeniem Parlamentu Europejskiego i Rady (UE) nr 1303/2013 z dnia 17 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 Rybackiego oraz uchylającym rozporządzenie Rady (WE) nr 1083/2006 (Dz. Urz. UE L 347 z 20.12.2013 r., str. 320, z późn. zm.), zwanym </w:t>
      </w:r>
      <w:r>
        <w:rPr>
          <w:rFonts w:ascii="Calibri" w:hAnsi="Calibri"/>
          <w:b/>
          <w:bCs/>
        </w:rPr>
        <w:t>„rozporządzeniem nr 1303/2013”</w:t>
      </w:r>
      <w:r>
        <w:rPr>
          <w:rFonts w:ascii="Calibri" w:hAnsi="Calibri"/>
        </w:rPr>
        <w:t>;</w:t>
      </w:r>
    </w:p>
    <w:p w14:paraId="35199578" w14:textId="77777777"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rozporządzeniem Parlamentu Europejskiego i Rady (UE) nr 1301/2013 z dnia 17 grudnia 2013 r. w sprawie Europejskiego Funduszu Rozwoju Regionalnego i przepisów szczególnych dotyczących celu „Inwestycje na rzecz wzrostu i zatrudnienia” oraz w sprawie uchylenia rozporządzenia (WE) nr 1080/2006 (Dz. Urz. UE L 347 z 20.12.2013, str. 289, z późn. zm.), zwanym „</w:t>
      </w:r>
      <w:r>
        <w:rPr>
          <w:rFonts w:ascii="Calibri" w:hAnsi="Calibri"/>
          <w:b/>
          <w:bCs/>
        </w:rPr>
        <w:t>rozporządzeniem nr 1301/2013”</w:t>
      </w:r>
      <w:r>
        <w:rPr>
          <w:rFonts w:ascii="Calibri" w:hAnsi="Calibri"/>
        </w:rPr>
        <w:t>;</w:t>
      </w:r>
    </w:p>
    <w:p w14:paraId="3187E68D" w14:textId="77777777"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rozporządzeniem Komisji (UE) Nr 651/2014 z dnia 17 czerwca 2014 r. uznającym niektóre rodzaje pomocy za zgodne z rynkiem wewnętrznym w zastosowaniu art. 107 i 108 Traktatu (Dz. Urz. UE L 187 z 26.06.2014, str. 1, z późn. zm.), zwanym „</w:t>
      </w:r>
      <w:r>
        <w:rPr>
          <w:rFonts w:ascii="Calibri" w:hAnsi="Calibri"/>
          <w:b/>
          <w:bCs/>
        </w:rPr>
        <w:t>rozporządzeniem KE nr 651/2014</w:t>
      </w:r>
      <w:r>
        <w:rPr>
          <w:rFonts w:ascii="Calibri" w:hAnsi="Calibri"/>
        </w:rPr>
        <w:t>”;</w:t>
      </w:r>
    </w:p>
    <w:p w14:paraId="45A46D6A" w14:textId="77777777"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rozporządzeniem Komisji (UE) nr 1407/2013 z dnia 18 grudnia 2013 r. w sprawie stosowania art. 107 i 108 Traktatu o funkcjonowaniu Unii Europejskiej do </w:t>
      </w:r>
      <w:r>
        <w:rPr>
          <w:rFonts w:ascii="Calibri" w:hAnsi="Calibri"/>
          <w:i/>
          <w:iCs/>
        </w:rPr>
        <w:t>pomocy de minimis</w:t>
      </w:r>
      <w:r>
        <w:rPr>
          <w:rFonts w:ascii="Calibri" w:hAnsi="Calibri"/>
        </w:rPr>
        <w:t xml:space="preserve"> (Dz. Urz. UE L 352 z 24.12.2013, str. 1), zwanym „</w:t>
      </w:r>
      <w:r>
        <w:rPr>
          <w:rFonts w:ascii="Calibri" w:hAnsi="Calibri"/>
          <w:b/>
          <w:bCs/>
        </w:rPr>
        <w:t>rozporządzeniem KE nr 1407/2013</w:t>
      </w:r>
      <w:r>
        <w:rPr>
          <w:rFonts w:ascii="Calibri" w:hAnsi="Calibri"/>
        </w:rPr>
        <w:t>”;</w:t>
      </w:r>
    </w:p>
    <w:p w14:paraId="50064C34" w14:textId="77777777"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r., str. 5, z późn. zm.).</w:t>
      </w:r>
    </w:p>
    <w:p w14:paraId="1CA658C9" w14:textId="77777777" w:rsidR="001C5221" w:rsidRDefault="0078441F">
      <w:pPr>
        <w:pStyle w:val="Nagwek2"/>
        <w:spacing w:after="240" w:line="276" w:lineRule="auto"/>
        <w:rPr>
          <w:rFonts w:ascii="Calibri" w:eastAsia="Calibri" w:hAnsi="Calibri" w:cs="Calibri"/>
          <w:i w:val="0"/>
          <w:iCs w:val="0"/>
        </w:rPr>
      </w:pPr>
      <w:r>
        <w:rPr>
          <w:rFonts w:ascii="Calibri" w:hAnsi="Calibri"/>
          <w:i w:val="0"/>
          <w:iCs w:val="0"/>
        </w:rPr>
        <w:t>§2. Określenia i skróty</w:t>
      </w:r>
    </w:p>
    <w:p w14:paraId="34A8CE18" w14:textId="77777777" w:rsidR="001C5221" w:rsidRDefault="0078441F">
      <w:pPr>
        <w:spacing w:after="12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Użyte w regulaminie określenia i skróty oznaczają:</w:t>
      </w:r>
    </w:p>
    <w:p w14:paraId="4AF7359A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beneficjent</w:t>
      </w:r>
      <w:r>
        <w:rPr>
          <w:rFonts w:ascii="Calibri" w:hAnsi="Calibri"/>
        </w:rPr>
        <w:t xml:space="preserve"> – podmiot, o którym mowa w art. 2 pkt 1 ustawy wdrożeniowej;</w:t>
      </w:r>
    </w:p>
    <w:p w14:paraId="08D02858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 xml:space="preserve">członek konsorcjum (partner) – </w:t>
      </w:r>
      <w:r>
        <w:rPr>
          <w:rFonts w:ascii="Calibri" w:hAnsi="Calibri"/>
        </w:rPr>
        <w:t>podmiot wymieniony we wniosku o dofinansowanie, realizujący projekt wspólnie z wnioskodawcą, na warunkach określonych w umowie o dofinansowanie projektu oraz umowie o partnerstwie, uprawniony do ponoszenia wydatków kwalifikowalnych;</w:t>
      </w:r>
    </w:p>
    <w:p w14:paraId="34A871D0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dni –</w:t>
      </w:r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>dni kalendarzowe;</w:t>
      </w:r>
    </w:p>
    <w:p w14:paraId="3D231B18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dni robocze - </w:t>
      </w:r>
      <w:r>
        <w:rPr>
          <w:rFonts w:ascii="Calibri" w:hAnsi="Calibri"/>
        </w:rPr>
        <w:t>dni z wyłączeniem sobót i dni ustawowo wolnych od pracy;</w:t>
      </w:r>
    </w:p>
    <w:p w14:paraId="06D33C18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ekspert – </w:t>
      </w:r>
      <w:r>
        <w:rPr>
          <w:rFonts w:ascii="Calibri" w:hAnsi="Calibri"/>
        </w:rPr>
        <w:t>osobę, o której mowa w rozdziale 15a ustawy wdrożeniowej;</w:t>
      </w:r>
    </w:p>
    <w:p w14:paraId="70B5060F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Generator Wniosków (GW) </w:t>
      </w:r>
      <w:r>
        <w:rPr>
          <w:rFonts w:ascii="Calibri" w:hAnsi="Calibri"/>
        </w:rPr>
        <w:t>– narzędzie informatyczne udostępnione za pośrednictwem strony internetowej PARP umożliwiające wnioskodawcy utworzenie indywidualnego konta w systemie informatycznym PARP oraz złożenie wniosku o dofinansowanie w konkursie przeprowadzanym w ramach poddziałania;</w:t>
      </w:r>
    </w:p>
    <w:p w14:paraId="6BB66721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Instytucja Pośrednicząca (IP)</w:t>
      </w:r>
      <w:r>
        <w:rPr>
          <w:rFonts w:ascii="Calibri" w:hAnsi="Calibri"/>
        </w:rPr>
        <w:t xml:space="preserve"> – podmiot, o którym mowa w art. 2 pkt 9 ustawy wdrożeniowej. W przypadku poddziałania funkcję</w:t>
      </w:r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>Instytucji Pośredniczącej pełni Polska Agencja Rozwoju Przedsiębiorczości (PARP);</w:t>
      </w:r>
    </w:p>
    <w:p w14:paraId="4F9F5C97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Instytucja Zarządzająca (IZ) - </w:t>
      </w:r>
      <w:r>
        <w:rPr>
          <w:rFonts w:ascii="Calibri" w:hAnsi="Calibri"/>
        </w:rPr>
        <w:t xml:space="preserve">instytucję, o której mowa w art. 2 pkt 11 ustawy wdrożeniowej. W przypadku poddziałania funkcję Instytucji Zarządzającej pełni minister właściwy do spraw rozwoju regionalnego;  </w:t>
      </w:r>
    </w:p>
    <w:p w14:paraId="2FAFF395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inwestycja początkowa </w:t>
      </w:r>
      <w:r>
        <w:rPr>
          <w:rFonts w:ascii="Calibri" w:hAnsi="Calibri"/>
        </w:rPr>
        <w:t>– oznacza inwestycję początkową w rozumieniu art. 2 pkt 49 lit. a rozporządzenia KE nr 651/2014, tj. w jednej z następujących form:</w:t>
      </w:r>
    </w:p>
    <w:p w14:paraId="0C207618" w14:textId="77777777" w:rsidR="001C5221" w:rsidRDefault="0078441F">
      <w:pPr>
        <w:numPr>
          <w:ilvl w:val="0"/>
          <w:numId w:val="1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inwestycja w rzeczowe aktywa trwałe lub wartości niematerialne i prawne </w:t>
      </w:r>
      <w:r>
        <w:rPr>
          <w:rFonts w:ascii="Calibri" w:hAnsi="Calibri"/>
          <w:b/>
          <w:bCs/>
        </w:rPr>
        <w:t>związane z założeniem nowego zakładu</w:t>
      </w:r>
      <w:r>
        <w:rPr>
          <w:rFonts w:ascii="Calibri" w:hAnsi="Calibri"/>
        </w:rPr>
        <w:t>,</w:t>
      </w:r>
    </w:p>
    <w:p w14:paraId="545F3DD3" w14:textId="77777777" w:rsidR="001C5221" w:rsidRDefault="0078441F">
      <w:pPr>
        <w:numPr>
          <w:ilvl w:val="0"/>
          <w:numId w:val="1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inwestycja w rzeczowe aktywa trwałe lub wartości niematerialne i prawne </w:t>
      </w:r>
      <w:r>
        <w:rPr>
          <w:rFonts w:ascii="Calibri" w:hAnsi="Calibri"/>
          <w:b/>
          <w:bCs/>
        </w:rPr>
        <w:t>związane z zwiększeniem zdolności produkcyjnej istniejącego zakładu</w:t>
      </w:r>
      <w:r>
        <w:rPr>
          <w:rFonts w:ascii="Calibri" w:hAnsi="Calibri"/>
        </w:rPr>
        <w:t>,</w:t>
      </w:r>
    </w:p>
    <w:p w14:paraId="64D3AFF3" w14:textId="77777777" w:rsidR="001C5221" w:rsidRDefault="0078441F">
      <w:pPr>
        <w:numPr>
          <w:ilvl w:val="0"/>
          <w:numId w:val="1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inwestycja w rzeczowe aktywa trwałe lub wartości niematerialne i prawne </w:t>
      </w:r>
      <w:r>
        <w:rPr>
          <w:rFonts w:ascii="Calibri" w:hAnsi="Calibri"/>
          <w:b/>
          <w:bCs/>
        </w:rPr>
        <w:t>związane z dywersyfikacją produkcji zakładu poprzez wprowadzenie produktów uprzednio nieprodukowanych w zakładzie</w:t>
      </w:r>
      <w:r>
        <w:rPr>
          <w:rFonts w:ascii="Calibri" w:hAnsi="Calibri"/>
        </w:rPr>
        <w:t>,</w:t>
      </w:r>
    </w:p>
    <w:p w14:paraId="2811F77D" w14:textId="77777777" w:rsidR="001C5221" w:rsidRDefault="0078441F">
      <w:pPr>
        <w:numPr>
          <w:ilvl w:val="0"/>
          <w:numId w:val="1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inwestycja w rzeczowe aktywa trwałe lub wartości niematerialne i prawne </w:t>
      </w:r>
      <w:r>
        <w:rPr>
          <w:rFonts w:ascii="Calibri" w:hAnsi="Calibri"/>
          <w:b/>
          <w:bCs/>
        </w:rPr>
        <w:t>związane z zasadniczą zmianą dotyczącą procesu produkcyjnego istniejącego zakładu</w:t>
      </w:r>
      <w:r>
        <w:rPr>
          <w:rFonts w:ascii="Calibri" w:hAnsi="Calibri"/>
        </w:rPr>
        <w:t>;</w:t>
      </w:r>
    </w:p>
    <w:p w14:paraId="545033B3" w14:textId="77777777" w:rsidR="001C5221" w:rsidRDefault="0078441F">
      <w:pPr>
        <w:numPr>
          <w:ilvl w:val="0"/>
          <w:numId w:val="15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Komisja Oceny Projektów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(KOP)</w:t>
      </w:r>
      <w:r>
        <w:rPr>
          <w:rFonts w:ascii="Calibri" w:hAnsi="Calibri"/>
        </w:rPr>
        <w:t xml:space="preserve"> – komisję, o której mowa w art. 44 ustawy wdrożeniowej, powołaną do oceny spełnienia kryteriów wyboru projektów uczestniczących w konkursie;</w:t>
      </w:r>
    </w:p>
    <w:p w14:paraId="23DC4A32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konsorcjum (partnerstwo) – </w:t>
      </w:r>
      <w:r>
        <w:rPr>
          <w:rFonts w:ascii="Calibri" w:hAnsi="Calibri"/>
        </w:rPr>
        <w:t>partnerstwo w rozumieniu art. 33 ust. 1 ustawy wdrożeniowej, w skład którego wchodzą co najmniej trzy MŚP (lider konsorcjum (partner wiodący) oraz co najmniej dwóch członków konsorcjum (partnerów));</w:t>
      </w:r>
    </w:p>
    <w:p w14:paraId="551736C8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makroregion Polski Wschodniej </w:t>
      </w:r>
      <w:r>
        <w:rPr>
          <w:rFonts w:ascii="Calibri" w:hAnsi="Calibri"/>
        </w:rPr>
        <w:t>– obszar obejmujący następujące województwa: lubelskie, podkarpackie, podlaskie, świętokrzyskie i warmińsko–mazurskie;</w:t>
      </w:r>
    </w:p>
    <w:p w14:paraId="769D6F98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 xml:space="preserve">mikroprzedsiębiorca, mały lub średni przedsiębiorca (MŚP) </w:t>
      </w:r>
      <w:r>
        <w:rPr>
          <w:rFonts w:ascii="Calibri" w:hAnsi="Calibri"/>
        </w:rPr>
        <w:t>– odpowiednio mikroprzedsiębiorcę, małego lub średniego przedsiębiorcę spełniającego warunki określone w załączniku I do rozporządzenia KE nr 651/2014;</w:t>
      </w:r>
    </w:p>
    <w:p w14:paraId="10CF0B5D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Panel Ekspertów</w:t>
      </w:r>
      <w:r>
        <w:rPr>
          <w:rFonts w:ascii="Calibri" w:hAnsi="Calibri"/>
        </w:rPr>
        <w:t xml:space="preserve"> – co najmniej dwóch członków KOP, dokonujących wspólnej oceny projektu zgodnie z zasadami określonymi w regulaminie prac Komisji Oceny Projektów;</w:t>
      </w:r>
    </w:p>
    <w:p w14:paraId="71F3AD0C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poddziałanie</w:t>
      </w:r>
      <w:r>
        <w:rPr>
          <w:rFonts w:ascii="Calibri" w:hAnsi="Calibri"/>
        </w:rPr>
        <w:t xml:space="preserve"> – poddziałanie 1.3.2 </w:t>
      </w:r>
      <w:r>
        <w:rPr>
          <w:rFonts w:ascii="Calibri" w:hAnsi="Calibri"/>
          <w:i/>
          <w:iCs/>
        </w:rPr>
        <w:t xml:space="preserve">Tworzenie sieciowych produktów przez MŚP, </w:t>
      </w:r>
      <w:r>
        <w:rPr>
          <w:rFonts w:ascii="Calibri" w:hAnsi="Calibri"/>
        </w:rPr>
        <w:t xml:space="preserve">w ramach I osi priorytetowej </w:t>
      </w:r>
      <w:r>
        <w:rPr>
          <w:rFonts w:ascii="Calibri" w:hAnsi="Calibri"/>
          <w:i/>
          <w:iCs/>
        </w:rPr>
        <w:t>Przedsiębiorcza Polska Wschodnia</w:t>
      </w:r>
      <w:r>
        <w:rPr>
          <w:rFonts w:ascii="Calibri" w:hAnsi="Calibri"/>
        </w:rPr>
        <w:t xml:space="preserve"> Programu Operacyjnego Polska Wschodnia 2014-2020;</w:t>
      </w:r>
    </w:p>
    <w:p w14:paraId="2C42A364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podmiot współpracujący </w:t>
      </w:r>
      <w:r>
        <w:rPr>
          <w:rFonts w:ascii="Calibri" w:hAnsi="Calibri"/>
        </w:rPr>
        <w:t>– podmiot wymieniony w załączniku do wniosku o dofinansowanie, który we współpracy z beneficjentem (MŚP realizującym projekt samodzielnie), tworzy produkt sieciowy;</w:t>
      </w:r>
    </w:p>
    <w:p w14:paraId="1382FAE3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portal</w:t>
      </w:r>
      <w:r>
        <w:rPr>
          <w:rFonts w:ascii="Calibri" w:hAnsi="Calibri"/>
        </w:rPr>
        <w:t xml:space="preserve"> – portal internetowy, o którym mowa w art. 2 pkt 16 ustawy wdrożeniowej, dostępny pod adresem </w:t>
      </w:r>
      <w:hyperlink r:id="rId8" w:history="1">
        <w:r>
          <w:rPr>
            <w:rStyle w:val="Hyperlink0"/>
            <w:rFonts w:ascii="Calibri" w:hAnsi="Calibri"/>
          </w:rPr>
          <w:t>http://www.funduszeeuropejskie.gov.pl</w:t>
        </w:r>
      </w:hyperlink>
      <w:r>
        <w:rPr>
          <w:rStyle w:val="Brak"/>
          <w:rFonts w:ascii="Calibri" w:hAnsi="Calibri"/>
        </w:rPr>
        <w:t>;</w:t>
      </w:r>
    </w:p>
    <w:p w14:paraId="22DF9BDA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>projekt</w:t>
      </w:r>
      <w:r>
        <w:rPr>
          <w:rStyle w:val="Brak"/>
          <w:rFonts w:ascii="Calibri" w:hAnsi="Calibri"/>
        </w:rPr>
        <w:t xml:space="preserve"> – przedsięwzięcie, o którym mowa w art. 2 pkt 18 ustawy wdrożeniowej;</w:t>
      </w:r>
    </w:p>
    <w:p w14:paraId="776AB550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 xml:space="preserve">produkt sieciowy </w:t>
      </w:r>
      <w:r>
        <w:rPr>
          <w:rStyle w:val="Brak"/>
          <w:rFonts w:ascii="Calibri" w:hAnsi="Calibri"/>
        </w:rPr>
        <w:t>– gotową do sprzedaży spakietyzowaną ofertę opartą o rozproszoną strukturę podmiotów, funkcjonującą jako jedna spójna koncepcja, posiadająca wspólny wyróżnik (markę) produktu;</w:t>
      </w:r>
    </w:p>
    <w:p w14:paraId="53BAA3F7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  <w:b/>
          <w:bCs/>
        </w:rPr>
      </w:pPr>
      <w:r>
        <w:rPr>
          <w:rStyle w:val="Brak"/>
          <w:rFonts w:ascii="Calibri" w:hAnsi="Calibri"/>
          <w:b/>
          <w:bCs/>
        </w:rPr>
        <w:t xml:space="preserve">runda konkursu </w:t>
      </w:r>
      <w:r>
        <w:rPr>
          <w:rStyle w:val="Brak"/>
          <w:rFonts w:ascii="Calibri" w:hAnsi="Calibri"/>
        </w:rPr>
        <w:t>– rundę, o której mowa w art. 39 ust. 3 ustawy wdrożeniowej;</w:t>
      </w:r>
    </w:p>
    <w:p w14:paraId="3A3115C5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 xml:space="preserve">strona poddziałania </w:t>
      </w:r>
      <w:r>
        <w:rPr>
          <w:rStyle w:val="Brak"/>
          <w:rFonts w:ascii="Calibri" w:hAnsi="Calibri"/>
        </w:rPr>
        <w:t xml:space="preserve">– podstronę internetową PARP działającą pod adresem </w:t>
      </w:r>
      <w:hyperlink r:id="rId9" w:history="1">
        <w:r>
          <w:rPr>
            <w:rStyle w:val="Hyperlink0"/>
            <w:rFonts w:ascii="Calibri" w:hAnsi="Calibri"/>
          </w:rPr>
          <w:t>http://popw.parp.gov.pl/tworzenie-sieciowych-produktow-przez-msp/poddzialanie-1-3-2-tworzenie-sieciowych-produktow-przez-msp</w:t>
        </w:r>
      </w:hyperlink>
      <w:r>
        <w:rPr>
          <w:rStyle w:val="Brak"/>
          <w:rFonts w:ascii="Calibri" w:hAnsi="Calibri"/>
        </w:rPr>
        <w:t xml:space="preserve"> zawierającą informacje pomocnicze w zakresie procedury konkursowej;</w:t>
      </w:r>
    </w:p>
    <w:p w14:paraId="081CF4A5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>umowa o partnerstwie (umowa konsorcjum)</w:t>
      </w:r>
      <w:r>
        <w:rPr>
          <w:rStyle w:val="Brak"/>
          <w:rFonts w:ascii="Calibri" w:hAnsi="Calibri"/>
        </w:rPr>
        <w:t xml:space="preserve"> – umowa, o której mowa w art. 33 ustawy wdrożeniowej, której minimalny zakres został określony w załączniku nr 7 do regulaminu;</w:t>
      </w:r>
    </w:p>
    <w:p w14:paraId="59E21BC2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 xml:space="preserve">wniosek o dofinansowanie </w:t>
      </w:r>
      <w:r>
        <w:rPr>
          <w:rStyle w:val="Brak"/>
          <w:rFonts w:ascii="Calibri" w:hAnsi="Calibri"/>
        </w:rPr>
        <w:t>– dokument, w którym zawarte są informacje o wnioskodawcy oraz członkach konsorcjum (o ile występują) oraz opis projektu lub przedstawione w innej formie informacje na temat projektu. Wzór wniosku o dofinansowanie stanowi załącznik nr 2 do regulaminu;</w:t>
      </w:r>
    </w:p>
    <w:p w14:paraId="524FB5B2" w14:textId="77777777" w:rsidR="001C5221" w:rsidRDefault="0078441F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 xml:space="preserve">wnioskodawca </w:t>
      </w:r>
      <w:r>
        <w:rPr>
          <w:rStyle w:val="Brak"/>
          <w:rFonts w:ascii="Calibri" w:hAnsi="Calibri"/>
        </w:rPr>
        <w:t>- podmiot, o którym mowa w art. 2 pkt 28 ustawy wdrożeniowej; w przypadku projektu realizowanego w ramach konsorcjum wnioskodawcą jest lider konsorcjum (partner wiodący).</w:t>
      </w:r>
    </w:p>
    <w:p w14:paraId="56FA4DCC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§3. Postanowienia ogólne</w:t>
      </w:r>
    </w:p>
    <w:p w14:paraId="5B8766AC" w14:textId="77777777"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Celem konkursu jest wybór do dofinansowania projektów, które w największym stopniu przyczynią się do osiągnięcia celów POPW oraz celów poddziałania określonych </w:t>
      </w:r>
      <w:r>
        <w:rPr>
          <w:rStyle w:val="Brak"/>
          <w:rFonts w:ascii="Calibri" w:hAnsi="Calibri"/>
        </w:rPr>
        <w:lastRenderedPageBreak/>
        <w:t>w SZOOP. Do celów tych, należy w szczególności stworzenie zachęty dla MŚP do oparcia ich rozwoju o wykorzystanie istniejącego potencjału i walorów makroregionu jako podstawy działalności gospodarczej. Wspierane są innowacyjne sieciowe produkty w obszarach wpisujących się w zakres regionalnych inteligentnych specjalizacji (RIS) wspólnych dla co najmniej dwóch województw Polski Wschodniej o ponadregionalnym oddziaływaniu.</w:t>
      </w:r>
    </w:p>
    <w:p w14:paraId="747AACF9" w14:textId="77777777" w:rsidR="001C5221" w:rsidRDefault="0078441F">
      <w:pPr>
        <w:numPr>
          <w:ilvl w:val="0"/>
          <w:numId w:val="1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Wybór projektów do dofinansowania następuje w trybie konkursowym, o którym mowa w art. 38 ust. 1 pkt 1 ustawy wdrożeniowej.</w:t>
      </w:r>
    </w:p>
    <w:p w14:paraId="214ABA27" w14:textId="77777777" w:rsidR="001C5221" w:rsidRDefault="0078441F">
      <w:pPr>
        <w:numPr>
          <w:ilvl w:val="0"/>
          <w:numId w:val="1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Konkurs jest podzielony na 4 rundy. Wnioski o dofinansowanie mogą być składane w następujących terminach:</w:t>
      </w:r>
    </w:p>
    <w:p w14:paraId="4AD44102" w14:textId="77777777" w:rsidR="001C5221" w:rsidRDefault="0078441F">
      <w:pPr>
        <w:pStyle w:val="Akapitzlist"/>
        <w:numPr>
          <w:ilvl w:val="0"/>
          <w:numId w:val="2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rundy I – nabór wniosków o dofinansowanie w terminie od </w:t>
      </w:r>
      <w:r>
        <w:rPr>
          <w:rStyle w:val="Brak"/>
          <w:rFonts w:ascii="Calibri" w:hAnsi="Calibri"/>
          <w:b/>
          <w:bCs/>
        </w:rPr>
        <w:t>28 lutego 2019 r.</w:t>
      </w:r>
      <w:r>
        <w:rPr>
          <w:rStyle w:val="Brak"/>
          <w:rFonts w:ascii="Calibri" w:hAnsi="Calibri"/>
        </w:rPr>
        <w:t xml:space="preserve"> do </w:t>
      </w:r>
      <w:r>
        <w:rPr>
          <w:rStyle w:val="Brak"/>
          <w:rFonts w:ascii="Calibri" w:hAnsi="Calibri"/>
          <w:b/>
          <w:bCs/>
        </w:rPr>
        <w:t>30 kwietnia 2019 r.</w:t>
      </w:r>
    </w:p>
    <w:p w14:paraId="4BCED792" w14:textId="77777777" w:rsidR="001C5221" w:rsidRDefault="0078441F">
      <w:pPr>
        <w:pStyle w:val="Akapitzlist"/>
        <w:numPr>
          <w:ilvl w:val="0"/>
          <w:numId w:val="2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rundy II – nabór wniosków o dofinansowanie w terminie od </w:t>
      </w:r>
      <w:r>
        <w:rPr>
          <w:rStyle w:val="Brak"/>
          <w:rFonts w:ascii="Calibri" w:hAnsi="Calibri"/>
          <w:b/>
          <w:bCs/>
        </w:rPr>
        <w:t>1 maja 2019 r.</w:t>
      </w:r>
      <w:r>
        <w:rPr>
          <w:rStyle w:val="Brak"/>
          <w:rFonts w:ascii="Calibri" w:hAnsi="Calibri"/>
        </w:rPr>
        <w:t xml:space="preserve"> do </w:t>
      </w:r>
      <w:r>
        <w:rPr>
          <w:rStyle w:val="Brak"/>
          <w:rFonts w:ascii="Calibri" w:hAnsi="Calibri"/>
          <w:b/>
          <w:bCs/>
        </w:rPr>
        <w:t>30 czerwca 2019 r.</w:t>
      </w:r>
    </w:p>
    <w:p w14:paraId="5930E0D1" w14:textId="77777777" w:rsidR="001C5221" w:rsidRDefault="0078441F">
      <w:pPr>
        <w:pStyle w:val="Akapitzlist"/>
        <w:numPr>
          <w:ilvl w:val="0"/>
          <w:numId w:val="2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rundy III – nabór wniosków o dofinansowanie w terminie od </w:t>
      </w:r>
      <w:r>
        <w:rPr>
          <w:rStyle w:val="Brak"/>
          <w:rFonts w:ascii="Calibri" w:hAnsi="Calibri"/>
          <w:b/>
          <w:bCs/>
        </w:rPr>
        <w:t>1 lipca 2019 r.</w:t>
      </w:r>
      <w:r>
        <w:rPr>
          <w:rStyle w:val="Brak"/>
          <w:rFonts w:ascii="Calibri" w:hAnsi="Calibri"/>
        </w:rPr>
        <w:t xml:space="preserve"> do </w:t>
      </w:r>
      <w:r>
        <w:rPr>
          <w:rStyle w:val="Brak"/>
          <w:rFonts w:ascii="Calibri" w:hAnsi="Calibri"/>
          <w:b/>
          <w:bCs/>
        </w:rPr>
        <w:t>29 sierpnia 2019 r.</w:t>
      </w:r>
      <w:r>
        <w:rPr>
          <w:rStyle w:val="Brak"/>
          <w:rFonts w:ascii="Calibri" w:hAnsi="Calibri"/>
        </w:rPr>
        <w:t xml:space="preserve"> </w:t>
      </w:r>
    </w:p>
    <w:p w14:paraId="432D9787" w14:textId="77777777" w:rsidR="001C5221" w:rsidRDefault="0078441F">
      <w:pPr>
        <w:pStyle w:val="Akapitzlist"/>
        <w:numPr>
          <w:ilvl w:val="0"/>
          <w:numId w:val="2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rundy IV – nabór wniosków o dofinansowanie w terminie od </w:t>
      </w:r>
      <w:r>
        <w:rPr>
          <w:rStyle w:val="Brak"/>
          <w:rFonts w:ascii="Calibri" w:hAnsi="Calibri"/>
          <w:b/>
          <w:bCs/>
        </w:rPr>
        <w:t>30 sierpnia 2019 r.</w:t>
      </w:r>
      <w:r>
        <w:rPr>
          <w:rStyle w:val="Brak"/>
          <w:rFonts w:ascii="Calibri" w:hAnsi="Calibri"/>
        </w:rPr>
        <w:t xml:space="preserve"> do </w:t>
      </w:r>
      <w:r>
        <w:rPr>
          <w:rStyle w:val="Brak"/>
          <w:rFonts w:ascii="Calibri" w:hAnsi="Calibri"/>
          <w:b/>
          <w:bCs/>
        </w:rPr>
        <w:t>15 stycznia 2020 r.</w:t>
      </w:r>
      <w:r>
        <w:rPr>
          <w:rStyle w:val="Brak"/>
          <w:rFonts w:ascii="Calibri" w:hAnsi="Calibri"/>
        </w:rPr>
        <w:t xml:space="preserve"> (w ostatnim dniu naboru do godz. 16:00:00).</w:t>
      </w:r>
    </w:p>
    <w:p w14:paraId="471AFB92" w14:textId="77777777" w:rsidR="001C5221" w:rsidRDefault="0078441F">
      <w:pPr>
        <w:numPr>
          <w:ilvl w:val="0"/>
          <w:numId w:val="2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Kwota środków przeznaczonych na dofinansowanie projektów w niniejszym konkursie wynosi </w:t>
      </w:r>
      <w:r>
        <w:rPr>
          <w:rStyle w:val="Brak"/>
          <w:rFonts w:ascii="Calibri" w:hAnsi="Calibri"/>
          <w:b/>
          <w:bCs/>
        </w:rPr>
        <w:t>420 000 000 zł</w:t>
      </w:r>
      <w:r>
        <w:rPr>
          <w:rStyle w:val="Brak"/>
          <w:rFonts w:ascii="Calibri" w:hAnsi="Calibri"/>
        </w:rPr>
        <w:t xml:space="preserve"> (słownie: czterysta dwadzieścia milionów złotych), w tym 100 000 000 zł  (słownie: sto milionów złotych) na projekty zlokalizowane w regionach Mazur i Bieszczad (zgodnie z listą gmin stanowiącą załącznik nr 9 do regulaminu).</w:t>
      </w:r>
    </w:p>
    <w:p w14:paraId="7131EE99" w14:textId="77777777"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Jeżeli kwota dofinansowania złożonych w ramach naboru wniosków o dofinansowanie przekroczy </w:t>
      </w:r>
      <w:r>
        <w:rPr>
          <w:rStyle w:val="Brak"/>
          <w:rFonts w:ascii="Calibri" w:hAnsi="Calibri"/>
          <w:b/>
          <w:bCs/>
        </w:rPr>
        <w:t xml:space="preserve">300% </w:t>
      </w:r>
      <w:r>
        <w:rPr>
          <w:rStyle w:val="Brak"/>
          <w:rFonts w:ascii="Calibri" w:hAnsi="Calibri"/>
        </w:rPr>
        <w:t>kwoty przeznaczonej na dofinansowanie projektów w konkursie, za zgodą IZ, termin składania wniosków o dofinansowanie może ulec skróceniu. O skróceniu terminu naboru PARP poinformuje zgodnie z § 15 ust. 2, nie później niż na 5 dni roboczych przed planowanym terminem zakończenia naboru.</w:t>
      </w:r>
    </w:p>
    <w:p w14:paraId="239B4644" w14:textId="77777777"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Kwota środków przeznaczona na dofinansowanie może ulec zwiększeniu, o czym PARP poinformuje zgodnie z § 15 ust. 2.</w:t>
      </w:r>
    </w:p>
    <w:p w14:paraId="16E35AB9" w14:textId="77777777"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przypadku, gdy alokacja na projekty realizowane w regionach Bieszczad i Mazur nie zostanie wyczerpana, pozostała kwota będzie mogła być przesunięta do puli ogólnej konkursu.</w:t>
      </w:r>
    </w:p>
    <w:p w14:paraId="2B1C31A4" w14:textId="77777777"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przypadku, gdy alokacja na projekty realizowane poza regionami Bieszczad i Mazur nie zostanie wyczerpana, pozostała kwota będzie mogła być przesunięta do puli projektów realizowanych w regionach Bieszczad i Mazur.</w:t>
      </w:r>
    </w:p>
    <w:p w14:paraId="73A93086" w14:textId="77777777" w:rsidR="001C5221" w:rsidRDefault="0078441F">
      <w:pPr>
        <w:numPr>
          <w:ilvl w:val="0"/>
          <w:numId w:val="1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lastRenderedPageBreak/>
        <w:t>Ilekroć w regulaminie mowa jest o adresie poczty elektronicznej wnioskodawcy, oznacza to adres poczty elektronicznej służący do korespondencji wskazany w części III</w:t>
      </w:r>
      <w:r>
        <w:rPr>
          <w:rStyle w:val="Brak"/>
          <w:rFonts w:ascii="Calibri" w:hAnsi="Calibri"/>
          <w:i/>
          <w:iCs/>
        </w:rPr>
        <w:t xml:space="preserve"> Wnioskodawca (Lider Konsorcjum) – adres korespondencyjny</w:t>
      </w:r>
      <w:r>
        <w:rPr>
          <w:rStyle w:val="Brak"/>
          <w:rFonts w:ascii="Calibri" w:hAnsi="Calibri"/>
        </w:rPr>
        <w:t xml:space="preserve"> wniosku o dofinansowanie.</w:t>
      </w:r>
    </w:p>
    <w:p w14:paraId="3CB77D9D" w14:textId="77777777" w:rsidR="001C5221" w:rsidRDefault="0078441F">
      <w:pPr>
        <w:numPr>
          <w:ilvl w:val="0"/>
          <w:numId w:val="1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rozpoczęcia realizacji projektu przed dniem wejścia w życie umowy o dofinansowanie projektu wnioskodawca oraz członkowie konsorcjum (o ile występują) realizują projekt na własne ryzyko.</w:t>
      </w:r>
    </w:p>
    <w:p w14:paraId="665AD077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 xml:space="preserve">§4. Warunki uczestnictwa w konkursie </w:t>
      </w:r>
    </w:p>
    <w:p w14:paraId="44FC5CAB" w14:textId="77777777"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Wniosek o dofinansowanie uznaje się za złożony, jeśli spełnia następujące warunki:</w:t>
      </w:r>
    </w:p>
    <w:p w14:paraId="207BD421" w14:textId="77777777" w:rsidR="001C5221" w:rsidRDefault="0078441F">
      <w:pPr>
        <w:pStyle w:val="Akapitzlist"/>
        <w:numPr>
          <w:ilvl w:val="0"/>
          <w:numId w:val="2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został złożony w terminie, o którym mowa w § 3 ust. 3;</w:t>
      </w:r>
    </w:p>
    <w:p w14:paraId="4985BED1" w14:textId="77777777" w:rsidR="001C5221" w:rsidRDefault="0078441F">
      <w:pPr>
        <w:pStyle w:val="Akapitzlist"/>
        <w:numPr>
          <w:ilvl w:val="0"/>
          <w:numId w:val="2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został złożony w konkursie nr 5 rok 2019 w ramach poddziałania;</w:t>
      </w:r>
    </w:p>
    <w:p w14:paraId="2AF6470C" w14:textId="77777777" w:rsidR="001C5221" w:rsidRDefault="0078441F">
      <w:pPr>
        <w:pStyle w:val="Akapitzlist"/>
        <w:numPr>
          <w:ilvl w:val="0"/>
          <w:numId w:val="2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został złożony zgodnie z zasadami określonymi w § 6.</w:t>
      </w:r>
    </w:p>
    <w:p w14:paraId="45105925" w14:textId="77777777" w:rsidR="001C5221" w:rsidRDefault="0078441F">
      <w:pPr>
        <w:numPr>
          <w:ilvl w:val="0"/>
          <w:numId w:val="2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Dofinansowaniu będą podlegały projekty dotyczące inwestycji początkowej i prowadzące do utworzenia i rozwoju innowacyjnych produktów sieciowych w obszarach wpisujących się w zakres regionalnych inteligentnych specjalizacji wspólnych, dla co najmniej dwóch województw Polski Wschodniej (według załącznika nr 6 do regulaminu) i które realizowane będą na terytorium makroregionu Polski Wschodniej.</w:t>
      </w:r>
    </w:p>
    <w:p w14:paraId="1F38CCB7" w14:textId="77777777"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O dofinansowanie w ramach poddziałania mogą ubiegać się MŚP albo konsorcja MŚP, prowadzące działalność gospodarczą na terytorium Rzeczypospolitej Polskiej potwierdzoną wpisem do odpowiedniego rejestru. </w:t>
      </w:r>
    </w:p>
    <w:p w14:paraId="61124E03" w14:textId="235D9BA9"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Jeśli wnioskodawca jest podmiotem, o którym mowa w art. 3 ust. 1 ustawy z dnia 29 stycznia 2004 r. - Prawo zamówień publicznych (Dz. U. z 201</w:t>
      </w:r>
      <w:r w:rsidR="007518E5">
        <w:rPr>
          <w:rStyle w:val="Brak"/>
          <w:rFonts w:ascii="Calibri" w:hAnsi="Calibri"/>
        </w:rPr>
        <w:t>9</w:t>
      </w:r>
      <w:r>
        <w:rPr>
          <w:rStyle w:val="Brak"/>
          <w:rFonts w:ascii="Calibri" w:hAnsi="Calibri"/>
        </w:rPr>
        <w:t xml:space="preserve"> r. poz. 1</w:t>
      </w:r>
      <w:r w:rsidR="007518E5">
        <w:rPr>
          <w:rStyle w:val="Brak"/>
          <w:rFonts w:ascii="Calibri" w:hAnsi="Calibri"/>
        </w:rPr>
        <w:t>843</w:t>
      </w:r>
      <w:r>
        <w:rPr>
          <w:rStyle w:val="Brak"/>
          <w:rFonts w:ascii="Calibri" w:hAnsi="Calibri"/>
        </w:rPr>
        <w:t>, z późn. zm.), dokonuje on wyboru członków konsorcjum (przed złożeniem wniosku o dofinansowanie) spośród podmiotów innych niż wymienione w art. 3 ust. 1 pkt 1-3a tej ustawy, z zachowaniem zasady przejrzystości i równego traktowania. Podmiot ten, dokonując wyboru, jest obowiązany w szczególności do:</w:t>
      </w:r>
    </w:p>
    <w:p w14:paraId="1647B883" w14:textId="77777777" w:rsidR="001C5221" w:rsidRDefault="0078441F">
      <w:pPr>
        <w:numPr>
          <w:ilvl w:val="0"/>
          <w:numId w:val="2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ogłoszenia otwartego naboru członków konsorcjum na swojej stronie internetowej wraz ze wskazaniem co najmniej 21-dniowego terminu na zgłaszanie się podmiotów;</w:t>
      </w:r>
    </w:p>
    <w:p w14:paraId="587E30E3" w14:textId="77777777" w:rsidR="001C5221" w:rsidRDefault="0078441F">
      <w:pPr>
        <w:numPr>
          <w:ilvl w:val="0"/>
          <w:numId w:val="2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uwzględnienia przy wyborze członków konsorcjum: zgodności działania potencjalnego członka konsorcjum z celami konsorcjum, deklarowanego wkładu potencjalnego członka konsorcjum w realizację celu konsorcjum, doświadczenia w realizacji projektów o podobnym charakterze;</w:t>
      </w:r>
    </w:p>
    <w:p w14:paraId="7C265040" w14:textId="77777777" w:rsidR="001C5221" w:rsidRDefault="0078441F">
      <w:pPr>
        <w:numPr>
          <w:ilvl w:val="0"/>
          <w:numId w:val="2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podania do publicznej wiadomości na swojej stronie internetowej informacji o podmiotach wybranych do pełnienia funkcji członka konsorcjum.</w:t>
      </w:r>
    </w:p>
    <w:p w14:paraId="64E194A5" w14:textId="77777777" w:rsidR="001C5221" w:rsidRDefault="0078441F">
      <w:pPr>
        <w:numPr>
          <w:ilvl w:val="0"/>
          <w:numId w:val="3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przypadku projektu realizowanego samodzielnie przez wnioskodawcę, prowadzi on działalność gospodarczą co najmniej rok przed dniem złożenia wniosku </w:t>
      </w:r>
      <w:r>
        <w:rPr>
          <w:rStyle w:val="Brak"/>
          <w:rFonts w:ascii="Calibri" w:hAnsi="Calibri"/>
        </w:rPr>
        <w:lastRenderedPageBreak/>
        <w:t>o dofinansowanie, wykazując przychody z działalności gospodarczej, w wysokości nie mniejszej niż 10% szacowanych wydatków kwalifikowalnych, przynajmniej w jednym zamkniętym roku obrotowym (trwającym minimum 12 miesięcy) w okresie 3 lat poprzedzających rok, w którym złożył wniosek o dofinansowanie w konkursie.</w:t>
      </w:r>
    </w:p>
    <w:p w14:paraId="3D105F46" w14:textId="77777777"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projektu realizowanego w ramach konsorcjum, minimum 70% (liczbowo - wynik liczony jest poprzez zaokrąglenie do pełnej liczby zgodnie z zasadami matematycznymi) członków konsorcjum (w tym wnioskodawca) prowadzi działalność gospodarczą co najmniej rok przed dniem złożenia wniosku o dofinansowanie, wykazując przychody z działalności gospodarczej, w wysokości nie mniejszej niż 10% szacowanych wydatków kwalifikowalnych przypadających na danego członka konsorcjum, przynajmniej w jednym zamkniętym roku obrotowym (trwającym minimum 12 miesięcy) w okresie 3 lat poprzedzających rok, w którym złożono wniosek o dofinansowanie w konkursie.</w:t>
      </w:r>
    </w:p>
    <w:p w14:paraId="3823D865" w14:textId="77777777"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Dofinansowanie stanowi:</w:t>
      </w:r>
    </w:p>
    <w:p w14:paraId="52317DF8" w14:textId="77777777" w:rsidR="001C5221" w:rsidRDefault="0078441F">
      <w:pPr>
        <w:numPr>
          <w:ilvl w:val="1"/>
          <w:numId w:val="3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publiczną udzielaną na zasadach określonych w rozporządzeniu KE nr 651/2014:</w:t>
      </w:r>
    </w:p>
    <w:p w14:paraId="4FBA86C8" w14:textId="77777777" w:rsidR="001C5221" w:rsidRDefault="0078441F">
      <w:pPr>
        <w:numPr>
          <w:ilvl w:val="0"/>
          <w:numId w:val="34"/>
        </w:numPr>
        <w:spacing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regionalną pomoc inwestycyjną udzielaną zgodnie z przepisami rozdziału I, art. 13 i 14 rozdziału III oraz rozdziału IV rozporządzenia KE nr 651/2014;</w:t>
      </w:r>
    </w:p>
    <w:p w14:paraId="41D191E1" w14:textId="77777777" w:rsidR="001C5221" w:rsidRDefault="0078441F">
      <w:pPr>
        <w:pStyle w:val="Akapitzlist"/>
        <w:numPr>
          <w:ilvl w:val="0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na infrastrukturę sportową i wielofunkcyjną infrastrukturę rekreacyjną udzielaną na inwestycje w zakresie:</w:t>
      </w:r>
    </w:p>
    <w:p w14:paraId="1FD63BCF" w14:textId="77777777" w:rsidR="001C5221" w:rsidRDefault="0078441F">
      <w:pPr>
        <w:pStyle w:val="Akapitzlist"/>
        <w:numPr>
          <w:ilvl w:val="2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infrastruktury sportowej, jeżeli są spełnione warunki określone w art. 55 ust. 2 i 4-6 rozporządzenia KE nr 651/2014, lub</w:t>
      </w:r>
    </w:p>
    <w:p w14:paraId="78C12A38" w14:textId="77777777" w:rsidR="001C5221" w:rsidRDefault="0078441F">
      <w:pPr>
        <w:pStyle w:val="Akapitzlist"/>
        <w:numPr>
          <w:ilvl w:val="2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wielofunkcyjnej infrastruktury rekreacyjnej, o której mowa w art. 55 ust. 3 rozporządzenia KE nr 651/2014, jeżeli są spełnione warunki określone w art. 55 ust. 4 i 6 rozporządzenia nr 651/2014;</w:t>
      </w:r>
    </w:p>
    <w:p w14:paraId="257DA520" w14:textId="77777777" w:rsidR="001C5221" w:rsidRDefault="0078441F">
      <w:pPr>
        <w:pStyle w:val="Akapitzlist"/>
        <w:numPr>
          <w:ilvl w:val="0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na usługi doradcze na rzecz MŚP, udzielaną zgodnie z przepisami rozdziału I, art. 18 rozdziału III oraz rozdziału IV rozporządzenia KE nr 651/2014;</w:t>
      </w:r>
    </w:p>
    <w:p w14:paraId="60347CFD" w14:textId="77777777" w:rsidR="001C5221" w:rsidRDefault="0078441F">
      <w:pPr>
        <w:pStyle w:val="Akapitzlist"/>
        <w:numPr>
          <w:ilvl w:val="0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szkoleniową udzielaną zgodnie z przepisami rozdziału I, art. 31 rozdziału III oraz rozdziału IV rozporządzenia KE nr 651/2014.</w:t>
      </w:r>
    </w:p>
    <w:p w14:paraId="58ABD0DF" w14:textId="77777777" w:rsidR="001C5221" w:rsidRDefault="0078441F">
      <w:pPr>
        <w:numPr>
          <w:ilvl w:val="1"/>
          <w:numId w:val="3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pomoc </w:t>
      </w:r>
      <w:r>
        <w:rPr>
          <w:rStyle w:val="Brak"/>
          <w:rFonts w:ascii="Calibri" w:hAnsi="Calibri"/>
          <w:i/>
          <w:iCs/>
        </w:rPr>
        <w:t>de minimis</w:t>
      </w:r>
      <w:r>
        <w:rPr>
          <w:rStyle w:val="Brak"/>
          <w:rFonts w:ascii="Calibri" w:hAnsi="Calibri"/>
        </w:rPr>
        <w:t xml:space="preserve"> udzielaną na zasadach określonych w rozporządzeniu KE nr 1407/2013.</w:t>
      </w:r>
    </w:p>
    <w:p w14:paraId="5278E87B" w14:textId="77777777" w:rsidR="001C5221" w:rsidRDefault="0078441F">
      <w:pPr>
        <w:numPr>
          <w:ilvl w:val="0"/>
          <w:numId w:val="3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Wnioskodawca, członkowie konsorcjum (o ile występują) oraz projekt powinni spełniać kryteria wyboru projektów obowiązujące dla poddziałania zatwierdzone przez Komitet Monitorujący POPW, które są zawarte w załączniku nr 1 do regulaminu. </w:t>
      </w:r>
    </w:p>
    <w:p w14:paraId="037B9EFD" w14:textId="77777777"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odniesieniu do okresu realizacji projektu muszą zostać spełnione łącznie następujące warunki:</w:t>
      </w:r>
    </w:p>
    <w:p w14:paraId="388EFD64" w14:textId="77777777" w:rsidR="001C5221" w:rsidRDefault="0078441F">
      <w:pPr>
        <w:numPr>
          <w:ilvl w:val="0"/>
          <w:numId w:val="3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lastRenderedPageBreak/>
        <w:t>realizacja projektu nie może rozpocząć się przed dniem lub w dniu, w którym złożono wniosek o dofinansowanie;</w:t>
      </w:r>
    </w:p>
    <w:p w14:paraId="609BC8FB" w14:textId="77777777" w:rsidR="001C5221" w:rsidRDefault="0078441F">
      <w:pPr>
        <w:numPr>
          <w:ilvl w:val="0"/>
          <w:numId w:val="3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rozpoczęcie realizacji projektu musi nastąpić najpóźniej w ciągu 3 miesięcy od daty wejścia w życie umowy o dofinansowanie projektu;</w:t>
      </w:r>
    </w:p>
    <w:p w14:paraId="537A355A" w14:textId="77777777" w:rsidR="001C5221" w:rsidRDefault="0078441F">
      <w:pPr>
        <w:numPr>
          <w:ilvl w:val="0"/>
          <w:numId w:val="3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okres realizacji projektu nie może być dłuższy niż 36 miesięcy, licząc od dnia rozpoczęcia realizacji projektu określonego w umowie o dofinansowanie projektu;</w:t>
      </w:r>
    </w:p>
    <w:p w14:paraId="125D9451" w14:textId="77777777" w:rsidR="001C5221" w:rsidRDefault="0078441F">
      <w:pPr>
        <w:numPr>
          <w:ilvl w:val="0"/>
          <w:numId w:val="3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okres realizacji projektu nie może wykraczać poza końcową datę okresu kwalifikowalności wydatków w ramach Programu Operacyjnego Polska Wschodnia 2014-2020, tj. 31 grudnia 2023 r.</w:t>
      </w:r>
    </w:p>
    <w:p w14:paraId="2B0F9A01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§5. Zasady finansowania projektów</w:t>
      </w:r>
    </w:p>
    <w:p w14:paraId="1093E325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Minimalna wartość kosztów kwalifikowalnych projektu wynosi 5 000 000 zł. </w:t>
      </w:r>
    </w:p>
    <w:p w14:paraId="147DC08F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Do kosztów kwalifikowalnych zalicza się: </w:t>
      </w:r>
    </w:p>
    <w:p w14:paraId="3750F7AE" w14:textId="77777777" w:rsidR="001C5221" w:rsidRDefault="0078441F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ramach regionalnej pomocy inwestycyjnej:</w:t>
      </w:r>
    </w:p>
    <w:p w14:paraId="383A9DDC" w14:textId="77777777" w:rsidR="001C5221" w:rsidRDefault="0078441F">
      <w:pPr>
        <w:numPr>
          <w:ilvl w:val="2"/>
          <w:numId w:val="4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  <w:color w:val="211D1E"/>
          <w:u w:color="211D1E"/>
        </w:rPr>
        <w:t xml:space="preserve">nabycie nieruchomości, w tym prawa użytkowania wieczystego, z wyłączeniem lokali mieszkalnych, nieprzekraczające 10% kosztów kwalifikowalnych, o których mowa w pkt 1; </w:t>
      </w:r>
    </w:p>
    <w:p w14:paraId="3BC6DDFC" w14:textId="77777777" w:rsidR="001C5221" w:rsidRDefault="0078441F">
      <w:pPr>
        <w:numPr>
          <w:ilvl w:val="2"/>
          <w:numId w:val="45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środków trwałych, innych niż określone w lit. a, w tym w szczególności:</w:t>
      </w:r>
    </w:p>
    <w:p w14:paraId="573ED6F3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niezbędnego wyposażenia obiektów będących przedmiotem realizowanego projektu zapewniającego pełną funkcjonalność tych obiektów,</w:t>
      </w:r>
    </w:p>
    <w:p w14:paraId="20C91048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infrastruktury towarzyszącej, m.in.: obiektów architektury ogrodowej, elementów użytkowych służących rekreacji i utrzymaniu porządku (np. kosze na śmieci, stojaki na rowery);</w:t>
      </w:r>
    </w:p>
    <w:p w14:paraId="5C825220" w14:textId="77777777" w:rsidR="001C5221" w:rsidRDefault="0078441F">
      <w:pPr>
        <w:numPr>
          <w:ilvl w:val="2"/>
          <w:numId w:val="48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robót i materiałów budowlanych, w tym w szczególności:</w:t>
      </w:r>
    </w:p>
    <w:p w14:paraId="0E9589C4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budowę lub przebudowę obiektów będących przedmiotem projektu,</w:t>
      </w:r>
    </w:p>
    <w:p w14:paraId="19D2EC83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budowę niezbędnych dróg wewnętrznych, ciągów komunikacyjnych, parkingów, ogrodzeń oraz zagospodarowanie terenów zielonych niezbędnych na terenie nowowybudowanej, rozbudowanej infrastruktury projektu,</w:t>
      </w:r>
    </w:p>
    <w:p w14:paraId="4BC81BEE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budowę lub przebudowę podstawowej infrastruktury technicznej niezbędnej do realizacji projektu (przyłącza i sieci wodno-kanalizacyjne, gazowe, ciepłownicze, energetyczne, oświetleniowe, telekomunikacyjne); </w:t>
      </w:r>
    </w:p>
    <w:p w14:paraId="56E45818" w14:textId="77777777" w:rsidR="001C5221" w:rsidRDefault="0078441F">
      <w:pPr>
        <w:numPr>
          <w:ilvl w:val="2"/>
          <w:numId w:val="49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lastRenderedPageBreak/>
        <w:t>nabycie wartości niematerialnych i prawnych w formie patentów, licencji, know-how oraz innych praw własności intelektualnej, jeżeli spełniają łącznie następujące warunki:</w:t>
      </w:r>
    </w:p>
    <w:p w14:paraId="11147A5F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będą wykorzystywane wyłącznie w przedsiębiorstwie przedsiębiorcy otrzymującego pomoc, </w:t>
      </w:r>
    </w:p>
    <w:p w14:paraId="59A74655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podlegać amortyzacji zgodnie z przepisami o rachunkowości,</w:t>
      </w:r>
    </w:p>
    <w:p w14:paraId="01421116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nabyte od osób trzecich niepowiązanych z przedsiębiorcą na warunkach rynkowych,</w:t>
      </w:r>
    </w:p>
    <w:p w14:paraId="5E96232D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stanowić aktywa przedsiębiorcy otrzymującego pomoc i pozostaną związane z projektem oraz pozostaną w jego przedsiębiorstwie przez co najmniej 3 lata od dnia zakończenia realizacji projektu;</w:t>
      </w:r>
    </w:p>
    <w:p w14:paraId="40D0594E" w14:textId="77777777" w:rsidR="001C5221" w:rsidRDefault="0078441F">
      <w:pPr>
        <w:numPr>
          <w:ilvl w:val="0"/>
          <w:numId w:val="5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ramach pomocy na infrastrukturę sportową i wielofunkcyjną infrastrukturę rekreacyjną:</w:t>
      </w:r>
    </w:p>
    <w:p w14:paraId="13FED01E" w14:textId="77777777" w:rsidR="001C5221" w:rsidRDefault="0078441F">
      <w:pPr>
        <w:numPr>
          <w:ilvl w:val="2"/>
          <w:numId w:val="52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nieruchomości, w tym prawa użytkowania wieczystego, z wyłączeniem lokali mieszkalnych, nieprzekraczające 10% kosztów kwalifikowalnych, o których mowa w pkt 2;</w:t>
      </w:r>
    </w:p>
    <w:p w14:paraId="3182CD04" w14:textId="77777777" w:rsidR="001C5221" w:rsidRDefault="0078441F">
      <w:pPr>
        <w:numPr>
          <w:ilvl w:val="2"/>
          <w:numId w:val="52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środków trwałych, innych niż w lit. a;</w:t>
      </w:r>
    </w:p>
    <w:p w14:paraId="01FFDC30" w14:textId="77777777" w:rsidR="001C5221" w:rsidRDefault="0078441F">
      <w:pPr>
        <w:numPr>
          <w:ilvl w:val="2"/>
          <w:numId w:val="52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 xml:space="preserve">nabycie robót i materiałów budowlanych; </w:t>
      </w:r>
    </w:p>
    <w:p w14:paraId="4FAEC6B9" w14:textId="77777777" w:rsidR="001C5221" w:rsidRDefault="0078441F">
      <w:pPr>
        <w:numPr>
          <w:ilvl w:val="2"/>
          <w:numId w:val="52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wartości niematerialnych i prawnych w formie patentów, licencji, know-how oraz innych praw własności intelektualnej, jeżeli spełniają łącznie następujące warunki:</w:t>
      </w:r>
    </w:p>
    <w:p w14:paraId="7F0A8444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będą wykorzystywane wyłącznie w przedsiębiorstwie przedsiębiorcy otrzymującego pomoc, </w:t>
      </w:r>
    </w:p>
    <w:p w14:paraId="51812C79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podlegać amortyzacji zgodnie z przepisami o rachunkowości,</w:t>
      </w:r>
    </w:p>
    <w:p w14:paraId="6393FCE4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nabyte od osób trzecich niepowiązanych z przedsiębiorcą na warunkach rynkowych,</w:t>
      </w:r>
    </w:p>
    <w:p w14:paraId="3F5995FD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stanowić aktywa przedsiębiorcy otrzymującego pomoc i pozostaną związane z projektem oraz pozostaną w jego przedsiębiorstwie przez co najmniej 3 lata od dnia zakończenia realizacji projektu;</w:t>
      </w:r>
    </w:p>
    <w:p w14:paraId="6ADBD89C" w14:textId="77777777" w:rsidR="001C5221" w:rsidRDefault="0078441F">
      <w:pPr>
        <w:numPr>
          <w:ilvl w:val="0"/>
          <w:numId w:val="5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koszty działań promocyjno-informacyjnych dotyczących produktu sieciowego, inne niż określone w załączniku do umowy o dofinansowanie projektu Obowiązki informacyjne beneficjenta;  </w:t>
      </w:r>
    </w:p>
    <w:p w14:paraId="0F11C060" w14:textId="77777777" w:rsidR="001C5221" w:rsidRDefault="0078441F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opracowanie i wdrożenie jednolitych standardów funkcjonowania i promocji produktu, w tym zakup usług o charakterze szkoleniowo-warsztatowym dla podmiotów realizujących przedsięwzięcie w zakresie przestrzegania tych standardów, a także wprowadzenia produktu na rynek;</w:t>
      </w:r>
    </w:p>
    <w:p w14:paraId="370DE556" w14:textId="77777777" w:rsidR="001C5221" w:rsidRDefault="0078441F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lastRenderedPageBreak/>
        <w:t>koszty ustanowienia i utrzymania zabezpieczenia w formie, o której mowa w § 33 pkt 6 rozporządzenia, dla zaliczki wypłaconej na rzecz MŚP.</w:t>
      </w:r>
    </w:p>
    <w:p w14:paraId="2B23F281" w14:textId="77777777" w:rsidR="001C5221" w:rsidRDefault="0078441F">
      <w:pPr>
        <w:pStyle w:val="Akapitzlist"/>
        <w:widowControl w:val="0"/>
        <w:numPr>
          <w:ilvl w:val="0"/>
          <w:numId w:val="5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Inwestycja początkowa musi odnosić się do wnioskodawcy i każdego członka konsorcjum (o ile występuje) ponoszącego wydatki inwestycyjne w ramach regionalnej pomocy inwestycyjnej lub pomocy na infrastrukturę sportową i wielofunkcyjną infrastrukturę rekreacyjną. Co najmniej jedna z realizowanych w ramach projektu inwestycji początkowych musi mieć formę opisaną w § 2 pkt 9 lit. a lub c.</w:t>
      </w:r>
    </w:p>
    <w:p w14:paraId="1D1B05AC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przypadku ubiegania się o pomoc na dywersyfikację istniejącego zakładu koszty kwalifikowalne muszą przekroczyć o co najmniej 200% wartość księgową ponownie wykorzystywanych aktywów, odnotowaną w roku obrotowym poprzedzającym rozpoczęcie prac. </w:t>
      </w:r>
    </w:p>
    <w:p w14:paraId="30B563EA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Koszty kwalifikowalne w projekcie planowane są z uwzględnieniem zasad:</w:t>
      </w:r>
    </w:p>
    <w:p w14:paraId="39C6C5F9" w14:textId="77777777" w:rsidR="001C5221" w:rsidRDefault="0078441F">
      <w:pPr>
        <w:pStyle w:val="Akapitzlist"/>
        <w:widowControl w:val="0"/>
        <w:numPr>
          <w:ilvl w:val="0"/>
          <w:numId w:val="5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minimalny udział wydatków inwestycyjnych (rozliczanych na podstawie ust. 2 pkt 1 lit. a – c oraz ust. 2 pkt 2 lit. a – c) w wartości wszystkich kosztów kwalifikowalnych projektu musi wynieść </w:t>
      </w:r>
      <w:r>
        <w:rPr>
          <w:rStyle w:val="Brak"/>
          <w:rFonts w:ascii="Calibri" w:hAnsi="Calibri"/>
          <w:b/>
          <w:bCs/>
        </w:rPr>
        <w:t>80%</w:t>
      </w:r>
      <w:r>
        <w:rPr>
          <w:rStyle w:val="Brak"/>
          <w:rFonts w:ascii="Calibri" w:hAnsi="Calibri"/>
        </w:rPr>
        <w:t>;</w:t>
      </w:r>
    </w:p>
    <w:p w14:paraId="19A5C39E" w14:textId="77777777" w:rsidR="001C5221" w:rsidRDefault="0078441F">
      <w:pPr>
        <w:pStyle w:val="Akapitzlist"/>
        <w:widowControl w:val="0"/>
        <w:numPr>
          <w:ilvl w:val="0"/>
          <w:numId w:val="5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minimalny udział wydatków inwestycyjnych (rozliczanych na podstawie ust. 2 pkt 1 lit. a – c oraz ust. 2 pkt 2 lit. a – c) związanych z maksymalnie trzema głównymi atrakcjami/elementami pakietu/składowymi, będącymi przedmiotem dofinansowania w ramach projektu, musi wynieść </w:t>
      </w:r>
      <w:r>
        <w:rPr>
          <w:rStyle w:val="Brak"/>
          <w:rFonts w:ascii="Calibri" w:hAnsi="Calibri"/>
          <w:b/>
          <w:bCs/>
        </w:rPr>
        <w:t>50%</w:t>
      </w:r>
      <w:r>
        <w:rPr>
          <w:rStyle w:val="Brak"/>
          <w:rFonts w:ascii="Calibri" w:hAnsi="Calibri"/>
        </w:rPr>
        <w:t xml:space="preserve"> wszystkich kosztów kwalifikowalnych projektu;</w:t>
      </w:r>
    </w:p>
    <w:p w14:paraId="074E35EE" w14:textId="77777777" w:rsidR="001C5221" w:rsidRDefault="0078441F">
      <w:pPr>
        <w:pStyle w:val="Akapitzlist"/>
        <w:widowControl w:val="0"/>
        <w:numPr>
          <w:ilvl w:val="0"/>
          <w:numId w:val="5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maksymalny udział wydatków inwestycyjnych (rozliczanych na podstawie ust. 2 pkt 1 lit. a–c) związanych z miejscami noclegowymi nie może przekroczyć </w:t>
      </w:r>
      <w:r>
        <w:rPr>
          <w:rStyle w:val="Brak"/>
          <w:rFonts w:ascii="Calibri" w:hAnsi="Calibri"/>
          <w:b/>
          <w:bCs/>
        </w:rPr>
        <w:t>35%</w:t>
      </w:r>
      <w:r>
        <w:rPr>
          <w:rStyle w:val="Brak"/>
          <w:rFonts w:ascii="Calibri" w:hAnsi="Calibri"/>
        </w:rPr>
        <w:t xml:space="preserve"> wszystkich kosztów kwalifikowalnych; wydatki związane z miejscami noclegowymi mogą być przedmiotem dofinansowania tylko w ramach regionalnej pomocy inwestycyjnej.</w:t>
      </w:r>
    </w:p>
    <w:p w14:paraId="5E77A168" w14:textId="77777777" w:rsidR="001C5221" w:rsidRDefault="0078441F">
      <w:pPr>
        <w:pStyle w:val="Akapitzlist"/>
        <w:widowControl w:val="0"/>
        <w:numPr>
          <w:ilvl w:val="0"/>
          <w:numId w:val="5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Łączna wartość kosztów kwalifikowalnych związanych z </w:t>
      </w:r>
      <w:r>
        <w:rPr>
          <w:rStyle w:val="Brak"/>
          <w:rFonts w:ascii="Calibri" w:hAnsi="Calibri"/>
          <w:color w:val="211D1E"/>
          <w:u w:color="211D1E"/>
        </w:rPr>
        <w:t>nabyciem wartości niematerialnych i prawnych</w:t>
      </w:r>
      <w:r>
        <w:rPr>
          <w:rStyle w:val="Brak"/>
          <w:rFonts w:ascii="Calibri" w:hAnsi="Calibri"/>
        </w:rPr>
        <w:t>, o których mowa w ust. 2 pkt 1 lit. d oraz pkt 2 lit. d, nie może przekraczać 2% wszystkich wydatków kwalifikowalnych projektu.</w:t>
      </w:r>
    </w:p>
    <w:p w14:paraId="2E780A98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Do kosztów kwalifikowalnych w ramach pomocy na usługi doradcze na rzecz MŚP zalicza się koszty usług doradczych świadczonych przez doradców zewnętrznych. </w:t>
      </w:r>
    </w:p>
    <w:p w14:paraId="4E3B2DB4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Usługi doradcze w ramach pomocy na usługi doradcze na rzecz MŚP, nie mogą mieć charakteru ciągłego ani okresowego oraz nie mogą być związane z bieżącą działalnością operacyjną MŚP, w szczególności w zakresie doradztwa podatkowego, stałej obsługi prawnej lub reklamy.</w:t>
      </w:r>
    </w:p>
    <w:p w14:paraId="4F552CFA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Do kosztów kwalifikowalnych w ramach pomocy szkoleniowej zalicza się koszty:</w:t>
      </w:r>
    </w:p>
    <w:p w14:paraId="11AB63D1" w14:textId="77777777" w:rsidR="001C5221" w:rsidRDefault="0078441F">
      <w:pPr>
        <w:pStyle w:val="Akapitzlist"/>
        <w:widowControl w:val="0"/>
        <w:numPr>
          <w:ilvl w:val="4"/>
          <w:numId w:val="5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zatrudnienia wykładowców poniesione za godziny, podczas których wykładowcy uczestniczą w szkoleniu;</w:t>
      </w:r>
    </w:p>
    <w:p w14:paraId="7720F91A" w14:textId="77777777" w:rsidR="001C5221" w:rsidRDefault="0078441F">
      <w:pPr>
        <w:pStyle w:val="Akapitzlist"/>
        <w:widowControl w:val="0"/>
        <w:numPr>
          <w:ilvl w:val="4"/>
          <w:numId w:val="5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lastRenderedPageBreak/>
        <w:t>operacyjne wykładowców i uczestników szkolenia bezpośrednio związane z danym szkoleniem, takie jak koszty podróży, zakwaterowania oraz materiałów bezpośrednio związanych z tematyką prowadzonego szkolenia.</w:t>
      </w:r>
    </w:p>
    <w:p w14:paraId="470152C8" w14:textId="77777777" w:rsidR="001C5221" w:rsidRDefault="0078441F">
      <w:pPr>
        <w:pStyle w:val="Akapitzlist"/>
        <w:widowControl w:val="0"/>
        <w:numPr>
          <w:ilvl w:val="0"/>
          <w:numId w:val="6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szkoleniowa nie może być udzielana na szkolenia, których obowiązek przeprowadzenia wynika z przepisów prawa.</w:t>
      </w:r>
    </w:p>
    <w:p w14:paraId="18D191B5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kosztów, o których mowa w:</w:t>
      </w:r>
    </w:p>
    <w:p w14:paraId="3ACF986F" w14:textId="77777777" w:rsidR="001C5221" w:rsidRDefault="0078441F">
      <w:pPr>
        <w:pStyle w:val="Akapitzlist"/>
        <w:widowControl w:val="0"/>
        <w:numPr>
          <w:ilvl w:val="0"/>
          <w:numId w:val="6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ust. 2 pkt 1 maksymalną intensywność pomocy określa się zgodnie z §3 i §5 rozporządzenia Rady Ministrów z dnia 30 czerwca 2014 r. w sprawie ustalenia mapy pomocy regionalnej na lata 2014-2020 (Dz. U. poz. 878); </w:t>
      </w:r>
    </w:p>
    <w:p w14:paraId="49179F55" w14:textId="77777777" w:rsidR="001C5221" w:rsidRDefault="0078441F">
      <w:pPr>
        <w:pStyle w:val="Akapitzlist"/>
        <w:widowControl w:val="0"/>
        <w:numPr>
          <w:ilvl w:val="0"/>
          <w:numId w:val="6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ust. 2 pkt 2 maksymalna intensywność pomocy w ramach wniosku o dofinansowanie projektu wynosi 80% łącznych kosztów kwalifikowalnych w ramach pomocy na infrastrukturę sportową i wielofunkcyjną infrastrukturę rekreacyjną; jednocześnie maksymalna wartość pomocy nie może przekroczyć równowartości 2 mln euro</w:t>
      </w:r>
      <w:r>
        <w:rPr>
          <w:rStyle w:val="Brak"/>
          <w:rFonts w:ascii="Calibri" w:eastAsia="Calibri" w:hAnsi="Calibri" w:cs="Calibri"/>
          <w:vertAlign w:val="superscript"/>
        </w:rPr>
        <w:footnoteReference w:id="2"/>
      </w:r>
      <w:r>
        <w:rPr>
          <w:rStyle w:val="Brak"/>
          <w:rFonts w:ascii="Calibri" w:hAnsi="Calibri"/>
        </w:rPr>
        <w:t xml:space="preserve">;    </w:t>
      </w:r>
    </w:p>
    <w:p w14:paraId="2A4864E2" w14:textId="77777777" w:rsidR="001C5221" w:rsidRDefault="0078441F">
      <w:pPr>
        <w:pStyle w:val="Akapitzlist"/>
        <w:widowControl w:val="0"/>
        <w:numPr>
          <w:ilvl w:val="0"/>
          <w:numId w:val="6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ust. 2 pkt 3, 4 i 5 maksymalna intensywność pomocy wynosi:</w:t>
      </w:r>
    </w:p>
    <w:p w14:paraId="3653063F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50% kosztów kwalifikowalnych w przypadku udzielenia pomocy na usługi doradcze na rzecz MŚP,  </w:t>
      </w:r>
    </w:p>
    <w:p w14:paraId="2A23780E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50% kosztów kwalifikowalnych w przypadku pomocy szkoleniowej, którą zwiększa się o 10 punktów procentowych w przypadku pomocy na rzecz średniego przedsiębiorcy i 20 punktów procentowych w przypadku pomocy na rzecz mikroprzedsiębiorcy i małego przedsiębiorcy lub o 10 punktów procentowych w przypadku usług szkoleniowych dla pracowników znajdujących się w szczególnie niekorzystnej sytuacji, o których mowa w art. 2 pkt 4 rozporządzenia KE nr 651/2014, lub pracowników niepełnosprawnych, o których mowa w art. 2 pkt 3 rozporządzenia KE nr 651/2014, przy czym łącznie intensywność pomocy nie może przekroczyć 70% kosztów kwalifikowalnych, </w:t>
      </w:r>
    </w:p>
    <w:p w14:paraId="2DC16A68" w14:textId="77777777"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70% kosztów kwalifikowalnych w przypadku pomocy de minimis. </w:t>
      </w:r>
    </w:p>
    <w:p w14:paraId="701BEFE5" w14:textId="77777777" w:rsidR="001C5221" w:rsidRDefault="0078441F">
      <w:pPr>
        <w:pStyle w:val="Akapitzlist"/>
        <w:widowControl w:val="0"/>
        <w:numPr>
          <w:ilvl w:val="0"/>
          <w:numId w:val="6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Dofinansowane projekty muszą być skupione wokół nie więcej niż trzech głównych atrakcji/elementów pakietu/składowych, będących przedmiotem dofinansowania w ramach projektu, stanowiących podstawę do tworzenia produktu sieciowego. Do wydatków kwalifikowalnych dotyczących głównych atrakcji/elementów nie są zaliczane wydatki kwalifikowalne w części dotyczącej miejsc noclegowych.</w:t>
      </w:r>
    </w:p>
    <w:p w14:paraId="7ACF1568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Za infrastrukturę noclegową, uznaje się wydatki inwestycyjne dotyczące miejsc noclegowych - w tym zakup nieruchomości z przeznaczeniem na utworzenie miejsc </w:t>
      </w:r>
      <w:r>
        <w:rPr>
          <w:rStyle w:val="Brak"/>
          <w:rFonts w:ascii="Calibri" w:hAnsi="Calibri"/>
        </w:rPr>
        <w:lastRenderedPageBreak/>
        <w:t>noclegowych (np. pole kempingowe, kamperowe, namiotowe), budowa, rozbudowa, przebudowa obiektów obejmujących miejsca noclegowe, wyposażenie miejsc noclegowych oraz zakup środków trwałych (np. łodzi i kamperów), w których znajdują się miejsca noclegowe/miejsca do spania. Szczegółowy sposób wyliczenia kosztów dotyczących miejsc noclegowych został określony w Załączniku nr 3 Instrukcja wypełnienia wniosku o dofinansowanie projektu.</w:t>
      </w:r>
    </w:p>
    <w:p w14:paraId="7575224D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projektu realizowanego w ramach konsorcjum, wymagane jest, aby minimalny udział finansowy we wkładzie własnym w ramach kosztów kwalifikowanych projektu wynosił:</w:t>
      </w:r>
    </w:p>
    <w:p w14:paraId="29B1D6FD" w14:textId="77777777" w:rsidR="001C5221" w:rsidRDefault="0078441F">
      <w:pPr>
        <w:pStyle w:val="Akapitzlist"/>
        <w:widowControl w:val="0"/>
        <w:numPr>
          <w:ilvl w:val="0"/>
          <w:numId w:val="6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30% - w przypadku wnioskodawcy;</w:t>
      </w:r>
    </w:p>
    <w:p w14:paraId="26917ADC" w14:textId="77777777" w:rsidR="001C5221" w:rsidRDefault="0078441F">
      <w:pPr>
        <w:pStyle w:val="Akapitzlist"/>
        <w:widowControl w:val="0"/>
        <w:numPr>
          <w:ilvl w:val="0"/>
          <w:numId w:val="6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5% dla każdego z członków konsorcjum.</w:t>
      </w:r>
    </w:p>
    <w:p w14:paraId="36230052" w14:textId="77777777" w:rsidR="001C5221" w:rsidRDefault="0078441F">
      <w:pPr>
        <w:pStyle w:val="Akapitzlist"/>
        <w:widowControl w:val="0"/>
        <w:numPr>
          <w:ilvl w:val="0"/>
          <w:numId w:val="6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Wnioskodawca oraz członkowie konsorcjum (o ile występują) muszą posiadać odpowiednie środki finansowe do sfinansowania swojej części wydatków w ramach projektu. Wnioskodawca oraz członkowie konsorcjum (o ile występują) muszą dysponować środkami finansowymi wystarczającymi na realizację projektu, na zapewnienie jego płynności finansowej, z uwzględnieniem dofinansowania. </w:t>
      </w:r>
    </w:p>
    <w:p w14:paraId="77D01EAE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finansowania projektu kredytem bankowym możliwość pozyskania przez wnioskodawcę oraz członków konsorcjum (o ile występują) kredytu musi być uwiarygodniona promesą kredytową sporządzoną według wzoru stanowiącego załącznik nr 8 do regulaminu. Do każdej promesy kredytowej wnioskodawca załącza upoważnienie dla banku do przekazania informacji objętych tajemnicą bankową zgodne ze wzorem stanowiącym załącznik nr 10 do regulaminu.</w:t>
      </w:r>
    </w:p>
    <w:p w14:paraId="0635F1B3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Warunki uznania poniesionych kosztów za koszty kwalifikowalne zostały określone w szczególności w art. 6c ustawy o PARP, w § 8 rozporządzenia, w art. 44 ust. 3 ustawy z dnia 27 sierpnia 2009 r. o finansach publicznych oraz w wytycznych w zakresie kwalifikowalności.</w:t>
      </w:r>
    </w:p>
    <w:p w14:paraId="5E861680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  <w:b/>
          <w:bCs/>
        </w:rPr>
      </w:pPr>
      <w:r>
        <w:rPr>
          <w:rStyle w:val="Brak"/>
          <w:rFonts w:ascii="Calibri" w:hAnsi="Calibri"/>
          <w:b/>
          <w:bCs/>
        </w:rPr>
        <w:t>Podatek VAT nie jest wydatkiem kwalifikowalnym.</w:t>
      </w:r>
    </w:p>
    <w:p w14:paraId="591A085C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 kwalifikowane nie są uznawane zaliczki (na określony cel) wypłacone przez beneficjenta lub członka konsorcjum (o ile występuje) na rzecz wykonawcy będącego stroną zawartej umowy o dostawę, usługę lub robotę budowlaną.</w:t>
      </w:r>
    </w:p>
    <w:p w14:paraId="56BFA5C9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zamówień, do których nie stosuje się ustawy z dnia 29 stycznia 2004 r. - Prawo zamówień publicznych, w których postępowanie o udzielenie zamówienia wszczęto przed dniem zawarcia umowy o dofinansowanie projektu zastosowanie mają wymogi określone w rozdziale 6.5 wytycznych w zakresie kwalifikowalności, w tym w szczególności dotyczące rozeznania rynku i zasady konkurencyjności.</w:t>
      </w:r>
    </w:p>
    <w:p w14:paraId="1147ED3C" w14:textId="77777777"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przypadku publikacji zamówień przeprowadzanych zgodnie z zasadą konkurencyjności, wnioskodawca lub członek konsorcjum (o ile występuje) publikuje zapytanie ofertowe na stronie internetowej </w:t>
      </w:r>
      <w:hyperlink r:id="rId10" w:history="1">
        <w:r>
          <w:rPr>
            <w:rStyle w:val="Hyperlink0"/>
            <w:rFonts w:ascii="Calibri" w:hAnsi="Calibri"/>
          </w:rPr>
          <w:t>https://bazakonkurencyjnosci.funduszeeuropejskie.gov.pl/</w:t>
        </w:r>
      </w:hyperlink>
      <w:r>
        <w:rPr>
          <w:rStyle w:val="Brak"/>
          <w:rFonts w:ascii="Calibri" w:hAnsi="Calibri"/>
        </w:rPr>
        <w:t>. Informację o zmianach zapytania ofertowego, treść pytań dotyczących zapytania ofertowego wraz z wyjaśnieniami zamawiającego oraz wyniki postępowania upublicznia się w taki sposób, w jaki zostało upublicznione zapytanie ofertowe.</w:t>
      </w:r>
    </w:p>
    <w:p w14:paraId="0F64C8C7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§6. Zasady składania i wycofywania wniosków o dofinansowanie</w:t>
      </w:r>
    </w:p>
    <w:p w14:paraId="287733B1" w14:textId="77777777" w:rsidR="001C5221" w:rsidRDefault="0078441F">
      <w:pPr>
        <w:numPr>
          <w:ilvl w:val="0"/>
          <w:numId w:val="6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Wniosek o dofinansowanie należy złożyć wyłącznie w wersji elektronicznej za pośrednictwem GW, z zastrzeżeniem ust. 10. Wniosek o dofinansowanie należy sporządzić zgodnie z </w:t>
      </w:r>
      <w:r>
        <w:rPr>
          <w:rStyle w:val="Brak"/>
          <w:rFonts w:ascii="Calibri" w:hAnsi="Calibri"/>
          <w:i/>
          <w:iCs/>
        </w:rPr>
        <w:t xml:space="preserve">Instrukcją wypełniania wniosku o dofinansowanie projektu </w:t>
      </w:r>
      <w:r>
        <w:rPr>
          <w:rStyle w:val="Brak"/>
          <w:rFonts w:ascii="Calibri" w:hAnsi="Calibri"/>
        </w:rPr>
        <w:t>stanowiącą</w:t>
      </w:r>
      <w:r>
        <w:rPr>
          <w:rStyle w:val="Brak"/>
          <w:rFonts w:ascii="Calibri" w:hAnsi="Calibri"/>
          <w:i/>
          <w:iCs/>
        </w:rPr>
        <w:t xml:space="preserve"> </w:t>
      </w:r>
      <w:r>
        <w:rPr>
          <w:rStyle w:val="Brak"/>
          <w:rFonts w:ascii="Calibri" w:hAnsi="Calibri"/>
        </w:rPr>
        <w:t xml:space="preserve">załącznik nr 3 do regulaminu. Wszelkie inne formy elektronicznej lub papierowej wizualizacji treści wniosku nie stanowią wniosku o dofinansowanie i nie będą podlegać ocenie. </w:t>
      </w:r>
    </w:p>
    <w:p w14:paraId="0006C607" w14:textId="54D929EF"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Wniosek o dofinansowanie powinien zostać sporządzony w języku polskim, zgodnie z art. 5 ustawy z dnia 7 października 1999 r. o języku polskim (Dz. U. z 201</w:t>
      </w:r>
      <w:r w:rsidR="00E02C66">
        <w:rPr>
          <w:rStyle w:val="Brak"/>
          <w:rFonts w:ascii="Calibri" w:hAnsi="Calibri"/>
        </w:rPr>
        <w:t>9</w:t>
      </w:r>
      <w:r>
        <w:rPr>
          <w:rStyle w:val="Brak"/>
          <w:rFonts w:ascii="Calibri" w:hAnsi="Calibri"/>
        </w:rPr>
        <w:t xml:space="preserve"> r. poz. </w:t>
      </w:r>
      <w:r w:rsidR="00E02C66">
        <w:rPr>
          <w:rStyle w:val="Brak"/>
          <w:rFonts w:ascii="Calibri" w:hAnsi="Calibri"/>
        </w:rPr>
        <w:t>1480</w:t>
      </w:r>
      <w:r>
        <w:rPr>
          <w:rStyle w:val="Brak"/>
          <w:rFonts w:ascii="Calibri" w:hAnsi="Calibri"/>
        </w:rPr>
        <w:t>, z późn. zm.), z wyjątkiem użycia obcojęzycznych nazw własnych lub pojedynczych wyrażeń w języku obcym. Dokumenty sporządzone w języku obcym powinny zostać przetłumaczone na język polski przez tłumacza przysięgłego.</w:t>
      </w:r>
    </w:p>
    <w:p w14:paraId="1EE79AEA" w14:textId="77777777"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Złożenie wniosku o dofinansowanie w GW będzie możliwe w okresie naboru wniosków o dofinansowanie, o którym mowa w § 3 ust. 3.</w:t>
      </w:r>
    </w:p>
    <w:p w14:paraId="362EC878" w14:textId="77777777" w:rsidR="001C5221" w:rsidRDefault="0078441F">
      <w:pPr>
        <w:pStyle w:val="Akapitzlist"/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Złożenie wniosku o dofinansowanie możliwe będzie wyłącznie przez wnioskodawcę, który w GW oświadczy, że:</w:t>
      </w:r>
    </w:p>
    <w:p w14:paraId="3BCD7351" w14:textId="77777777" w:rsidR="001C5221" w:rsidRDefault="0078441F">
      <w:pPr>
        <w:pStyle w:val="Akapitzlist"/>
        <w:numPr>
          <w:ilvl w:val="1"/>
          <w:numId w:val="7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zapoznał się z regulaminem konkursu i akceptuje jego zasady;</w:t>
      </w:r>
    </w:p>
    <w:p w14:paraId="53CDCE74" w14:textId="77777777" w:rsidR="001C5221" w:rsidRDefault="0078441F">
      <w:pPr>
        <w:pStyle w:val="Akapitzlist"/>
        <w:numPr>
          <w:ilvl w:val="1"/>
          <w:numId w:val="7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jest świadomy skutków niezachowania wskazanej w regulaminie konkursu formy komunikacji.</w:t>
      </w:r>
    </w:p>
    <w:p w14:paraId="197624CA" w14:textId="77777777" w:rsidR="001C5221" w:rsidRDefault="0078441F">
      <w:pPr>
        <w:numPr>
          <w:ilvl w:val="0"/>
          <w:numId w:val="7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Data i czas wygenerowane przez GW po naciśnięciu przycisku „Złóż” są datą i czasem </w:t>
      </w:r>
      <w:r>
        <w:rPr>
          <w:rStyle w:val="Brak"/>
          <w:rFonts w:ascii="Calibri" w:hAnsi="Calibri"/>
          <w:b/>
          <w:bCs/>
        </w:rPr>
        <w:t>złożenia wniosku o dofinansowanie</w:t>
      </w:r>
      <w:r>
        <w:rPr>
          <w:rStyle w:val="Brak"/>
          <w:rFonts w:ascii="Calibri" w:hAnsi="Calibri"/>
        </w:rPr>
        <w:t xml:space="preserve">, odnotowywanymi przez serwer PARP. </w:t>
      </w:r>
    </w:p>
    <w:p w14:paraId="646E1B65" w14:textId="77777777" w:rsidR="001C5221" w:rsidRDefault="0078441F">
      <w:pPr>
        <w:pStyle w:val="Akapitzlist"/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może złożyć tylko jeden wniosek o dofinansowanie w ramach konkursu. W przeciwnym przypadku PARP wzywa Wnioskodawcę do wycofania jednego z wniosków. Wnioskodawca powinien wycofać jeden z wniosków o dofinansowanie w terminie 7 dni od dnia następującego po dniu wysłania przez PARP informacji o wezwaniu. W przypadku braku wycofania jednego z wniosków o dofinansowanie, ocenie będzie podlegał wniosek złożony jako pierwszy. Pozostały wniosek zostanie pozostawiony bez rozpatrzenia i, w konsekwencji, nie zostanie dopuszczony do oceny spełnienia kryteriów wyboru projektów. Zasada ta nie obowiązuje, jeżeli wnioskodawca wycofał wniosek o dofinansowanie zgodnie z ust. 8 albo, gdy wnioski o dofinansowanie, złożone przez wnioskodawcę we wcześniejszych rundach konkursu zostały negatywnie ocenione, a procedura odwoławcza lub postępowanie sądowo-administracyjne, o których mowa w Rozdziale 15 ustawy wdrożeniowej, nie zostały wszczęte.</w:t>
      </w:r>
    </w:p>
    <w:p w14:paraId="6F1DCC80" w14:textId="3E5A787B"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lastRenderedPageBreak/>
        <w:t xml:space="preserve">Wnioskodawca nie może złożyć wniosku o dofinansowanie dla projektu będącego przedmiotem procedury odwoławczej lub postępowania sądowo-administracyjnego, o których mowa w rozdziale 15 ustawy wdrożeniowej. W przypadku </w:t>
      </w:r>
      <w:r w:rsidR="008A270F">
        <w:rPr>
          <w:rStyle w:val="Brak"/>
          <w:rFonts w:ascii="Calibri" w:hAnsi="Calibri"/>
        </w:rPr>
        <w:t xml:space="preserve">złożenia takiego </w:t>
      </w:r>
      <w:r>
        <w:rPr>
          <w:rStyle w:val="Brak"/>
          <w:rFonts w:ascii="Calibri" w:hAnsi="Calibri"/>
        </w:rPr>
        <w:t>wniosk</w:t>
      </w:r>
      <w:r w:rsidR="008A270F">
        <w:rPr>
          <w:rStyle w:val="Brak"/>
          <w:rFonts w:ascii="Calibri" w:hAnsi="Calibri"/>
        </w:rPr>
        <w:t>u</w:t>
      </w:r>
      <w:r>
        <w:rPr>
          <w:rStyle w:val="Brak"/>
          <w:rFonts w:ascii="Calibri" w:hAnsi="Calibri"/>
        </w:rPr>
        <w:t xml:space="preserve"> o dofinansowanie zostanie </w:t>
      </w:r>
      <w:r w:rsidR="008A270F">
        <w:rPr>
          <w:rStyle w:val="Brak"/>
          <w:rFonts w:ascii="Calibri" w:hAnsi="Calibri"/>
        </w:rPr>
        <w:t xml:space="preserve">on </w:t>
      </w:r>
      <w:r>
        <w:rPr>
          <w:rStyle w:val="Brak"/>
          <w:rFonts w:ascii="Calibri" w:hAnsi="Calibri"/>
        </w:rPr>
        <w:t>pozostawiony bez rozpatrzenia i, w konsekwencji, nie zostanie dopuszczony do oceny spełnienia kryteriów wyboru projektów.</w:t>
      </w:r>
    </w:p>
    <w:p w14:paraId="653B5065" w14:textId="77777777"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ma możliwość wycofania wniosku o dofinansowanie. W takim przypadku wnioskodawca wycofuje wniosek w GW oraz załącza skan pisma o wycofaniu wniosku o dofinansowanie podpisanego zgodnie z zasadami reprezentowania wnioskodawcy. Datą wycofania wniosku jest data zarejestrowana przez GW.</w:t>
      </w:r>
    </w:p>
    <w:p w14:paraId="2F88234F" w14:textId="77777777"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Wnioskodawca dołącza w GW wersje elektroniczne załączników, zgodnie z Instrukcją wypełniania wniosku o dofinansowanie projektu (wielkość pojedynczego załącznika nie powinna przekraczać 15 MB). </w:t>
      </w:r>
    </w:p>
    <w:p w14:paraId="14BF67C4" w14:textId="77777777"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zidentyfikowanych przez wnioskodawcę problemów z dołączaniem załączników w GW, wnioskodawca zgłasza problemy za pomocą formularza, o którym mowa w ust. 12 pkt 1. PARP, uwzględniając zgłoszenie, może wskazać jako uprawnioną formę złożenia załączników formę papierową lub formę elektroniczną na nośniku danych (np. CD, DVD). Informacja w tym zakresie jest kierowana do wnioskodawcy na adres poczty elektronicznej wskazany przez wnioskodawcę w zgłoszeniu.</w:t>
      </w:r>
    </w:p>
    <w:p w14:paraId="0DFC8A6C" w14:textId="77777777" w:rsidR="001C5221" w:rsidRDefault="0078441F">
      <w:pPr>
        <w:numPr>
          <w:ilvl w:val="0"/>
          <w:numId w:val="6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Złożenie załączników w sposób, o którym mowa w ust. 10, powinno nastąpić w terminie 2 dni roboczych od dnia złożenia wniosku o dofinansowanie w GW.</w:t>
      </w:r>
    </w:p>
    <w:p w14:paraId="2C56F7E6" w14:textId="77777777"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stwierdzenia błędów związanych z funkcjonowaniem GW wnioskodawca:</w:t>
      </w:r>
    </w:p>
    <w:p w14:paraId="1F7101E8" w14:textId="77777777" w:rsidR="001C5221" w:rsidRDefault="0078441F">
      <w:pPr>
        <w:spacing w:after="120" w:line="276" w:lineRule="auto"/>
        <w:ind w:left="851" w:hanging="426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1)</w:t>
      </w:r>
      <w:r>
        <w:rPr>
          <w:rStyle w:val="Brak"/>
          <w:rFonts w:ascii="Calibri" w:hAnsi="Calibri"/>
        </w:rPr>
        <w:tab/>
        <w:t>powinien dokonać zgłoszenia błędów za pomocą formularza dostępnego w GW, zaś w przypadku awarii tego formularza;</w:t>
      </w:r>
    </w:p>
    <w:p w14:paraId="4D62E278" w14:textId="77777777" w:rsidR="001C5221" w:rsidRDefault="0078441F">
      <w:pPr>
        <w:spacing w:after="120" w:line="276" w:lineRule="auto"/>
        <w:ind w:left="851" w:hanging="426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2)</w:t>
      </w:r>
      <w:r>
        <w:rPr>
          <w:rStyle w:val="Brak"/>
          <w:rFonts w:ascii="Calibri" w:hAnsi="Calibri"/>
        </w:rPr>
        <w:tab/>
        <w:t>jest zobowiązany skontaktować się z PARP za pośrednictwem formularza kontaktowego zamieszczonego na stronie poddziałania,</w:t>
      </w:r>
    </w:p>
    <w:p w14:paraId="6596F07B" w14:textId="77777777" w:rsidR="001C5221" w:rsidRDefault="0078441F">
      <w:pPr>
        <w:spacing w:after="120" w:line="276" w:lineRule="auto"/>
        <w:ind w:left="425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pod rygorem pozostawienia zgłoszenia bez rozpatrzenia.</w:t>
      </w:r>
    </w:p>
    <w:p w14:paraId="6A94852F" w14:textId="77777777"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kieruje całość korespondencji dotyczącej przyjętego zgłoszenia błędu, w tym wynik rozpatrzenia zgłoszenia błędu, na adres poczty elektronicznej wskazany przez wnioskodawcę w zgłoszeniu błędu. Wnioskodawca jest zobowiązany do wskazania adresu poczty elektronicznej zapewniającego skuteczną komunikację.</w:t>
      </w:r>
    </w:p>
    <w:p w14:paraId="5EC6487E" w14:textId="77777777"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Pozytywne rozpatrzenie zgłoszenia, o którym mowa w ust. 12, możliwe jest jedynie w przypadku, gdy problemy związane z wadliwym funkcjonowaniem GW nie leżą po stronie wnioskodawcy.</w:t>
      </w:r>
    </w:p>
    <w:p w14:paraId="77D8039B" w14:textId="77777777"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razie wystąpienia długotrwałych problemów technicznych uniemożliwiających składanie wniosków o dofinansowanie za pomocą GW, należy stosować się do komunikatów zamieszczanych na stronie internetowej PARP.</w:t>
      </w:r>
    </w:p>
    <w:p w14:paraId="350F387C" w14:textId="77777777"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lastRenderedPageBreak/>
        <w:t>Wnioski o dofinansowanie, które nie zostały złożone zgodnie z § 4 ust. 1, PARP przechowuje w swoim systemie informatycznym przez okres 12 miesięcy od dnia zakończenia naboru w danym konkursie. Po upływie ww. terminu wnioski zostaną trwale usunięte.</w:t>
      </w:r>
    </w:p>
    <w:p w14:paraId="23F6CB89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§7. Warunki formalne i oczywiste omyłki – sposób ich uzupełniania lub poprawiania</w:t>
      </w:r>
    </w:p>
    <w:p w14:paraId="4DEAFC1E" w14:textId="77777777" w:rsidR="001C5221" w:rsidRDefault="0078441F">
      <w:pPr>
        <w:numPr>
          <w:ilvl w:val="0"/>
          <w:numId w:val="7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ramach warunków formalnych ustalane jest czy:</w:t>
      </w:r>
    </w:p>
    <w:p w14:paraId="4AD6F153" w14:textId="77777777" w:rsidR="001C5221" w:rsidRDefault="0078441F">
      <w:pPr>
        <w:spacing w:after="120" w:line="276" w:lineRule="auto"/>
        <w:ind w:left="851" w:hanging="425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1)</w:t>
      </w:r>
      <w:r>
        <w:rPr>
          <w:rStyle w:val="Brak"/>
          <w:rFonts w:ascii="Calibri" w:hAnsi="Calibri"/>
        </w:rPr>
        <w:tab/>
        <w:t>wszystkie pola wniosku o dofinansowanie wymagane Instrukcją wypełniania wniosku o dofinansowanie projektu zostały wypełnione;</w:t>
      </w:r>
    </w:p>
    <w:p w14:paraId="32F4E29B" w14:textId="77777777" w:rsidR="001C5221" w:rsidRDefault="0078441F">
      <w:pPr>
        <w:spacing w:after="120" w:line="276" w:lineRule="auto"/>
        <w:ind w:left="851" w:hanging="425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2)</w:t>
      </w:r>
      <w:r>
        <w:rPr>
          <w:rStyle w:val="Brak"/>
          <w:rFonts w:ascii="Calibri" w:hAnsi="Calibri"/>
        </w:rPr>
        <w:tab/>
        <w:t>wniosek zawiera wszystkie wymagane załączniki, sporządzone na właściwym wzorze, kompletne i czytelne;</w:t>
      </w:r>
    </w:p>
    <w:p w14:paraId="77A62BE6" w14:textId="77777777" w:rsidR="001C5221" w:rsidRDefault="0078441F">
      <w:pPr>
        <w:spacing w:after="120" w:line="276" w:lineRule="auto"/>
        <w:ind w:left="851" w:hanging="425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3)</w:t>
      </w:r>
      <w:r>
        <w:rPr>
          <w:rStyle w:val="Brak"/>
          <w:rFonts w:ascii="Calibri" w:hAnsi="Calibri"/>
        </w:rPr>
        <w:tab/>
        <w:t>informacje zawarte we wniosku o dofinansowanie są zgodne z dokumentem rejestrowym.</w:t>
      </w:r>
    </w:p>
    <w:p w14:paraId="3CEEFD5B" w14:textId="77777777" w:rsidR="001C5221" w:rsidRDefault="0078441F">
      <w:pPr>
        <w:numPr>
          <w:ilvl w:val="0"/>
          <w:numId w:val="7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 zastrzeżeniem konieczności zachowania terminu rozstrzygnięcia rundy konkursu, o którym mowa w § 11 ust. 4, w przypadku stwierdzenia we wniosku o dofinansowanie:</w:t>
      </w:r>
    </w:p>
    <w:p w14:paraId="377A6DFE" w14:textId="2FCCE252" w:rsidR="001C5221" w:rsidRDefault="0078441F">
      <w:pPr>
        <w:numPr>
          <w:ilvl w:val="1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braków w zakresie warunków formalnych - PARP wzywa wnioskodawcę do ich uzupełnienia. W takim przypadku informację o wezwaniu do uzupełnienia w GW, PARP kieruje na adres poczty elektronicznej wnioskodawcy. Wnioskodawca powinien uzupełnić braki w zakresie warunków formalnych w terminie </w:t>
      </w:r>
      <w:r w:rsidR="001028A2">
        <w:rPr>
          <w:rStyle w:val="Brak"/>
          <w:rFonts w:ascii="Calibri" w:hAnsi="Calibri"/>
        </w:rPr>
        <w:t xml:space="preserve">14 </w:t>
      </w:r>
      <w:r>
        <w:rPr>
          <w:rStyle w:val="Brak"/>
          <w:rFonts w:ascii="Calibri" w:hAnsi="Calibri"/>
        </w:rPr>
        <w:t xml:space="preserve">dni od dnia następującego po dniu wysłania przez PARP informacji o wezwaniu; </w:t>
      </w:r>
    </w:p>
    <w:p w14:paraId="6EDA6C42" w14:textId="77777777" w:rsidR="001C5221" w:rsidRDefault="0078441F">
      <w:pPr>
        <w:numPr>
          <w:ilvl w:val="1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oczywistych omyłek - PARP może je poprawić bez konieczności wzywania wnioskodawcy do ich poprawienia (w takim przypadku PARP poprawia omyłkę z urzędu i informuje o tym wnioskodawcę na adres poczty elektronicznej wnioskodawcy) albo wezwać wnioskodawcę do ich poprawienia z zastosowaniem trybu, o którym mowa w pkt 1).</w:t>
      </w:r>
    </w:p>
    <w:p w14:paraId="4C7808A7" w14:textId="77777777" w:rsidR="001C5221" w:rsidRDefault="0078441F">
      <w:pPr>
        <w:numPr>
          <w:ilvl w:val="0"/>
          <w:numId w:val="7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określa zakres niezbędnego uzupełnienia oraz wskazuje omyłki do poprawienia. Wnioskodawca jest zobowiązany do uzupełnienia lub poprawienia wniosku o dofinansowanie wyłącznie w zakresie wskazanym w wezwaniu, przy czym niedopuszczalne jest wprowadzenie zmian innych niż wskazane w wezwaniu.</w:t>
      </w:r>
    </w:p>
    <w:p w14:paraId="33F0BF11" w14:textId="77777777" w:rsidR="001C5221" w:rsidRDefault="0078441F">
      <w:pPr>
        <w:numPr>
          <w:ilvl w:val="0"/>
          <w:numId w:val="7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po uzupełnieniu lub poprawieniu wniosku o dofinansowanie zgodnie z wezwaniem, o którym mowa w ust. 3, jest zobowiązany wysłać wprowadzone zmiany poprzez naciśnięcie w GW przycisku „Wyślij”. W przypadku gdy wnioskodawca nie wyśle wprowadzonych zmian w opisany powyżej sposób, zostaną one automatycznie zapisane i wysłane w GW w dniu upływu terminu wskazanego w wezwaniu, o którym mowa w ust. 3.</w:t>
      </w:r>
    </w:p>
    <w:p w14:paraId="35DEC532" w14:textId="77777777" w:rsidR="001C5221" w:rsidRDefault="0078441F">
      <w:pPr>
        <w:pStyle w:val="Akapitzlist"/>
        <w:numPr>
          <w:ilvl w:val="0"/>
          <w:numId w:val="7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rozstrzygnięcia, czy wniosek o dofinansowanie został uzupełniony lub poprawiony w terminie, decydująca jest: </w:t>
      </w:r>
    </w:p>
    <w:p w14:paraId="3E3FD6B9" w14:textId="77777777" w:rsidR="001C5221" w:rsidRDefault="0078441F">
      <w:pPr>
        <w:pStyle w:val="Akapitzlist"/>
        <w:spacing w:after="120" w:line="276" w:lineRule="auto"/>
        <w:ind w:left="502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lastRenderedPageBreak/>
        <w:t>1)</w:t>
      </w:r>
      <w:r>
        <w:rPr>
          <w:rStyle w:val="Brak"/>
          <w:rFonts w:ascii="Calibri" w:hAnsi="Calibri"/>
        </w:rPr>
        <w:tab/>
        <w:t xml:space="preserve"> data złożenia nowej wersji wniosku o dofinansowanie w GW lub dołączenia załączników w GW (data generowana jest przez system: po wysłaniu poprzez naciśnięcie w GW przycisku „Wyślij” lub automatycznie w przypadku niewysłania wprowadzonych zmian z dniem upływu terminu wskazanego w wezwaniu, o którym mowa w ust. 2)</w:t>
      </w:r>
    </w:p>
    <w:p w14:paraId="321D3C98" w14:textId="77777777" w:rsidR="001C5221" w:rsidRDefault="0078441F">
      <w:pPr>
        <w:pStyle w:val="Akapitzlist"/>
        <w:spacing w:after="120" w:line="276" w:lineRule="auto"/>
        <w:ind w:left="426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 xml:space="preserve">albo </w:t>
      </w:r>
    </w:p>
    <w:p w14:paraId="26AA4E57" w14:textId="77777777" w:rsidR="001C5221" w:rsidRDefault="0078441F">
      <w:pPr>
        <w:pStyle w:val="Akapitzlist"/>
        <w:spacing w:after="120" w:line="276" w:lineRule="auto"/>
        <w:ind w:left="502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2)</w:t>
      </w:r>
      <w:r>
        <w:rPr>
          <w:rStyle w:val="Brak"/>
          <w:rFonts w:ascii="Calibri" w:hAnsi="Calibri"/>
        </w:rPr>
        <w:tab/>
        <w:t xml:space="preserve"> data nadania dokumentu w polskiej placówce pocztowej operatora wyznaczonego w rozumieniu ustawy z dnia 23 listopada 2012 r. – Prawo pocztowe (Dz.U. z 2018 r. poz. 2188, z późn. zm.) (tj. w placówce Poczty Polskiej) lub data widniejąca na pieczęci wpływu dokumentu dostarczonego do PARP (w przypadkach innych, niż nadanie dokumentu w placówce Poczty Polskiej) w przypadku, gdy w związku z wystąpieniem okoliczności, określonych w § 6 ust. 10 nie jest możliwe złożenie załączników w GW.</w:t>
      </w:r>
    </w:p>
    <w:p w14:paraId="6E8C1F24" w14:textId="77777777" w:rsidR="001C5221" w:rsidRDefault="0078441F">
      <w:pPr>
        <w:numPr>
          <w:ilvl w:val="0"/>
          <w:numId w:val="7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Dopuszczalne jest </w:t>
      </w:r>
      <w:r>
        <w:rPr>
          <w:rStyle w:val="Brak"/>
          <w:rFonts w:ascii="Calibri" w:hAnsi="Calibri"/>
          <w:b/>
          <w:bCs/>
        </w:rPr>
        <w:t>jednokrotne</w:t>
      </w:r>
      <w:r>
        <w:rPr>
          <w:rStyle w:val="Brak"/>
          <w:rFonts w:ascii="Calibri" w:hAnsi="Calibri"/>
        </w:rPr>
        <w:t xml:space="preserve"> uzupełnienie lub poprawienie wniosku o dofinansowanie w zakresie wskazanym przez PARP w wezwaniu.</w:t>
      </w:r>
    </w:p>
    <w:p w14:paraId="1093A97C" w14:textId="77777777" w:rsidR="001C5221" w:rsidRDefault="0078441F">
      <w:pPr>
        <w:numPr>
          <w:ilvl w:val="0"/>
          <w:numId w:val="7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Jeżeli wnioskodawca nie poprawi lub nie uzupełni wniosku o dofinansowanie we wskazanym w wezwaniu terminie lub zakresie lub wprowadzi we wniosku o dofinansowanie zmiany inne niż wskazane w wezwaniu, wniosek o dofinansowanie </w:t>
      </w:r>
      <w:r>
        <w:rPr>
          <w:rStyle w:val="Brak"/>
          <w:rFonts w:ascii="Calibri" w:hAnsi="Calibri"/>
          <w:b/>
          <w:bCs/>
        </w:rPr>
        <w:t xml:space="preserve">zostanie pozostawiony bez rozpatrzenia i, w konsekwencji, nie zostanie dopuszczony do oceny spełnienia kryteriów wyboru projektów. </w:t>
      </w:r>
    </w:p>
    <w:p w14:paraId="0BD9A1D6" w14:textId="77777777" w:rsidR="001C5221" w:rsidRDefault="0078441F">
      <w:pPr>
        <w:numPr>
          <w:ilvl w:val="0"/>
          <w:numId w:val="7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przechowuje w swoim systemie informatycznym wnioski o dofinansowanie pozostawione bez rozpatrzenia złożone w GW oraz wersje papierowe złożonych dokumentów lub nośniki danych (np. CD, DVD) do dnia 30 czerwca 2024 r.</w:t>
      </w:r>
    </w:p>
    <w:p w14:paraId="37225387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 xml:space="preserve">§8. Ogólne zasady dokonywania oceny projektów w konkursie </w:t>
      </w:r>
    </w:p>
    <w:p w14:paraId="3AEB3224" w14:textId="77777777"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Ocena projektów dokonywana jest w oparciu o kryteria wyboru projektów właściwe dla danego etapu oceny, określone w załączniku nr 1 do regulaminu, na podstawie informacji zawartych we wniosku o dofinansowanie oraz informacji lub dokumentów, o których mowa w ust. 4 (jeśli wnioskodawca był wezwany do ich złożenia), a także informacji udzielanych przez wnioskodawcę podczas posiedzenia Panelu Ekspertów. </w:t>
      </w:r>
    </w:p>
    <w:p w14:paraId="6BEF6F95" w14:textId="77777777"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projektów dokonywana jest przez KOP.</w:t>
      </w:r>
    </w:p>
    <w:p w14:paraId="12C441B5" w14:textId="77777777" w:rsidR="00F97DB3" w:rsidRDefault="0078441F">
      <w:pPr>
        <w:numPr>
          <w:ilvl w:val="0"/>
          <w:numId w:val="80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Ocena projektów trwa</w:t>
      </w:r>
      <w:r w:rsidR="00F97DB3">
        <w:rPr>
          <w:rStyle w:val="Brak"/>
          <w:rFonts w:ascii="Calibri" w:hAnsi="Calibri"/>
        </w:rPr>
        <w:t>:</w:t>
      </w:r>
    </w:p>
    <w:p w14:paraId="7DE2B74A" w14:textId="1807B177" w:rsidR="003509E1" w:rsidRDefault="0078441F" w:rsidP="003509E1">
      <w:pPr>
        <w:pStyle w:val="Akapitzlist"/>
        <w:numPr>
          <w:ilvl w:val="0"/>
          <w:numId w:val="111"/>
        </w:numPr>
        <w:spacing w:after="120" w:line="276" w:lineRule="auto"/>
        <w:rPr>
          <w:rStyle w:val="Brak"/>
          <w:rFonts w:ascii="Calibri" w:hAnsi="Calibri"/>
        </w:rPr>
      </w:pPr>
      <w:r w:rsidRPr="003509E1">
        <w:rPr>
          <w:rStyle w:val="Brak"/>
          <w:rFonts w:ascii="Calibri" w:hAnsi="Calibri"/>
        </w:rPr>
        <w:t xml:space="preserve"> do </w:t>
      </w:r>
      <w:r w:rsidR="003509E1">
        <w:rPr>
          <w:rStyle w:val="Brak"/>
          <w:rFonts w:ascii="Calibri" w:hAnsi="Calibri"/>
        </w:rPr>
        <w:t>90 dni dla rundy I, II i III</w:t>
      </w:r>
      <w:r w:rsidR="008A270F">
        <w:rPr>
          <w:rStyle w:val="Brak"/>
          <w:rFonts w:ascii="Calibri" w:hAnsi="Calibri"/>
        </w:rPr>
        <w:t>;</w:t>
      </w:r>
    </w:p>
    <w:p w14:paraId="6CD980B1" w14:textId="7A2FD315" w:rsidR="003509E1" w:rsidRDefault="003509E1" w:rsidP="003509E1">
      <w:pPr>
        <w:pStyle w:val="Akapitzlist"/>
        <w:numPr>
          <w:ilvl w:val="0"/>
          <w:numId w:val="111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 xml:space="preserve">do </w:t>
      </w:r>
      <w:r w:rsidR="001028A2" w:rsidRPr="003509E1">
        <w:rPr>
          <w:rStyle w:val="Brak"/>
          <w:rFonts w:ascii="Calibri" w:hAnsi="Calibri"/>
        </w:rPr>
        <w:t xml:space="preserve">120 </w:t>
      </w:r>
      <w:r w:rsidR="0078441F" w:rsidRPr="003509E1">
        <w:rPr>
          <w:rStyle w:val="Brak"/>
          <w:rFonts w:ascii="Calibri" w:hAnsi="Calibri"/>
        </w:rPr>
        <w:t>dni</w:t>
      </w:r>
      <w:r>
        <w:rPr>
          <w:rStyle w:val="Brak"/>
          <w:rFonts w:ascii="Calibri" w:hAnsi="Calibri"/>
        </w:rPr>
        <w:t xml:space="preserve"> dla rundy IV</w:t>
      </w:r>
      <w:r w:rsidR="0078441F" w:rsidRPr="003509E1">
        <w:rPr>
          <w:rStyle w:val="Brak"/>
          <w:rFonts w:ascii="Calibri" w:hAnsi="Calibri"/>
        </w:rPr>
        <w:t xml:space="preserve">, </w:t>
      </w:r>
    </w:p>
    <w:p w14:paraId="5B98A588" w14:textId="643F562A" w:rsidR="001C5221" w:rsidRPr="003509E1" w:rsidRDefault="0078441F" w:rsidP="003509E1">
      <w:pPr>
        <w:spacing w:after="120" w:line="276" w:lineRule="auto"/>
        <w:ind w:left="360"/>
        <w:rPr>
          <w:rFonts w:ascii="Calibri" w:hAnsi="Calibri"/>
        </w:rPr>
      </w:pPr>
      <w:r w:rsidRPr="003509E1">
        <w:rPr>
          <w:rStyle w:val="Brak"/>
          <w:rFonts w:ascii="Calibri" w:hAnsi="Calibri"/>
        </w:rPr>
        <w:t>liczonych od dnia zakończenia naboru wniosków o dofinansowanie w danej rundzie konkursu.</w:t>
      </w:r>
    </w:p>
    <w:p w14:paraId="0A133CBC" w14:textId="77777777"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przypadku, gdy do oceny spełnienia kryteriów wyboru projektów niezbędne okaże się złożenie przez wnioskodawcę dodatkowych informacji lub dokumentów innych, </w:t>
      </w:r>
      <w:r>
        <w:rPr>
          <w:rStyle w:val="Brak"/>
          <w:rFonts w:ascii="Calibri" w:hAnsi="Calibri"/>
        </w:rPr>
        <w:lastRenderedPageBreak/>
        <w:t>niż wymienione we wniosku o dofinansowanie, KOP może wezwać wnioskodawcę do ich złożenia.</w:t>
      </w:r>
    </w:p>
    <w:p w14:paraId="1F0DA21C" w14:textId="17C1B6F4"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Informację o wezwaniu, umieszczonym w GW, do złożenia dodatkowych informacji lub dokumentów, o których mowa w ust. 4, KOP wysyła na adres poczty elektronicznej wnioskodawcy. Wnioskodawca jest zobowiązany do przekazania PARP wymaganych informacji lub dokumentów za pośrednictwem GW lub w inny sposób wskazany w wezwaniu w terminie </w:t>
      </w:r>
      <w:r w:rsidR="001028A2">
        <w:rPr>
          <w:rStyle w:val="Brak"/>
          <w:rFonts w:ascii="Calibri" w:hAnsi="Calibri"/>
        </w:rPr>
        <w:t xml:space="preserve">10 </w:t>
      </w:r>
      <w:r>
        <w:rPr>
          <w:rStyle w:val="Brak"/>
          <w:rFonts w:ascii="Calibri" w:hAnsi="Calibri"/>
        </w:rPr>
        <w:t>dni roboczych od dnia następującego po dniu wysłania przez KOP informacji o wezwaniu (dla biegu tego terminu nie ma znaczenia dzień odebrania wezwania przez wnioskodawcę). Przesłane w terminie wskazanym w wezwaniu informacje lub dokumenty stają się częścią dokumentacji aplikacyjnej wnioskodawcy. Jeżeli wnioskodawca nie przekaże informacji lub dokumentów w wyznaczonym terminie, ocena wniosku o dofinansowanie prowadzona jest przez KOP na podstawie posiadanych informacji.</w:t>
      </w:r>
    </w:p>
    <w:p w14:paraId="6910CD48" w14:textId="77777777"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Dla sprawdzenia, czy wnioskodawca dochował terminu, o którym mowa ust. 5, stosuje się odpowiednio zasady, o których mowa w §7 ust. 5.</w:t>
      </w:r>
    </w:p>
    <w:p w14:paraId="44A03D70" w14:textId="77777777"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Prawdziwość oświadczeń i danych zawartych we wniosku o dofinansowanie może zostać zweryfikowana w trakcie oceny, jak również przed i po zawarciu umowy o dofinansowanie projektu. </w:t>
      </w:r>
    </w:p>
    <w:p w14:paraId="5261DC4F" w14:textId="77777777"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Wnioskodawca ma prawo dostępu do dokumentów związanych z oceną złożonego przez siebie wniosku o dofinansowanie, z zastrzeżeniem, że dane osobowe członków KOP dokonujących oceny nie podlegają ujawnieniu. </w:t>
      </w:r>
    </w:p>
    <w:p w14:paraId="0F4DAEC0" w14:textId="77777777"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przechowuje w swoim systemie informatycznym wnioski o dofinansowanie złożone w GW, które zostały ocenione negatywnie i, w stosunku do których nie został wniesiony protest oraz wersje papierowe złożonych dokumentów lub nośniki danych (np. CD, DVD) do dnia 30 czerwca 2024 r.</w:t>
      </w:r>
    </w:p>
    <w:p w14:paraId="3235AC61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§9. Zasady dokonywania oceny</w:t>
      </w:r>
    </w:p>
    <w:p w14:paraId="5022DAA8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spełnienia kryteriów wyboru projektów podzielona jest na dwa etapy.</w:t>
      </w:r>
    </w:p>
    <w:p w14:paraId="642B3B91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w ramach I etapu dokonywana jest przez KOP w formie niezależnej oceny projektu przez co najmniej dwóch członków KOP.</w:t>
      </w:r>
    </w:p>
    <w:p w14:paraId="69991007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w ramach I etapu kończy się:</w:t>
      </w:r>
    </w:p>
    <w:p w14:paraId="3008BB07" w14:textId="77777777" w:rsidR="001C5221" w:rsidRDefault="0078441F">
      <w:pPr>
        <w:numPr>
          <w:ilvl w:val="0"/>
          <w:numId w:val="8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skierowaniem wniosku o dofinansowanie do oceny w ramach II etapu – w przypadku spełnienia wszystkich kryteriów wyboru projektów właściwych dla I etapu (ocena pozytywna), albo</w:t>
      </w:r>
    </w:p>
    <w:p w14:paraId="59FBD741" w14:textId="77777777" w:rsidR="001C5221" w:rsidRDefault="0078441F">
      <w:pPr>
        <w:numPr>
          <w:ilvl w:val="0"/>
          <w:numId w:val="8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odrzuceniem wniosku o dofinansowanie – w przypadku niespełnienia któregokolwiek z kryteriów wyboru projektów właściwych dla I etapu (ocena negatywna).</w:t>
      </w:r>
    </w:p>
    <w:p w14:paraId="2D7DBF0B" w14:textId="77777777" w:rsidR="001C5221" w:rsidRDefault="0078441F">
      <w:pPr>
        <w:numPr>
          <w:ilvl w:val="0"/>
          <w:numId w:val="8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lastRenderedPageBreak/>
        <w:t>Po zakończeniu oceny w ramach I etapu PARP publikuje na swojej stronie internetowej listę projektów zakwalifikowanych do oceny w ramach II etapu.</w:t>
      </w:r>
    </w:p>
    <w:p w14:paraId="4C16C816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w ramach II etapu przeprowadzana jest przez KOP w formie Panelu Ekspertów.</w:t>
      </w:r>
    </w:p>
    <w:p w14:paraId="2106CB96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Na II etapie oceny projekt może zostać cofnięty do oceny w ramach I etapu w celu przeprowadzenia ponownej weryfikacji spełniania kryteriów wyboru projektów właściwych dla I etapu.</w:t>
      </w:r>
    </w:p>
    <w:p w14:paraId="1CBCF9EF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Elementem oceny przeprowadzanej przez Panel Ekspertów jest posiedzenie Panelu Ekspertów z udziałem wnioskodawcy (lub os</w:t>
      </w:r>
      <w:r w:rsidR="00364FEF">
        <w:rPr>
          <w:rStyle w:val="Brak"/>
          <w:rFonts w:ascii="Calibri" w:hAnsi="Calibri"/>
        </w:rPr>
        <w:t>ó</w:t>
      </w:r>
      <w:r>
        <w:rPr>
          <w:rStyle w:val="Brak"/>
          <w:rFonts w:ascii="Calibri" w:hAnsi="Calibri"/>
        </w:rPr>
        <w:t>b upoważniony</w:t>
      </w:r>
      <w:r w:rsidR="00364FEF">
        <w:rPr>
          <w:rStyle w:val="Brak"/>
          <w:rFonts w:ascii="Calibri" w:hAnsi="Calibri"/>
        </w:rPr>
        <w:t>ch</w:t>
      </w:r>
      <w:r>
        <w:rPr>
          <w:rStyle w:val="Brak"/>
          <w:rFonts w:ascii="Calibri" w:hAnsi="Calibri"/>
        </w:rPr>
        <w:t xml:space="preserve"> do reprezentowania wnioskodawcy) w siedzibie PARP albo z wykorzystaniem środków komunikacji elektronicznej w rozumieniu art. 2 pkt 5 ustawy z dnia 18 lipca 2002 r. o świadczeniu usług drogą elektroniczną (Dz. U. z 2020 r. poz. 344) (tj. w formie wideokonferencji). Posiedzenie Panelu Ekspertów z wykorzystaniem środków komunikacji elektronicznej może odbyć się w uzasadnionych przypadkach, w szczególności w przypadku wystąpienia zdarzeń o charakterze siły wyższej. Decyzję o formie, w jakiej odbędzie się posiedzenie Panelu Ekspertów podejmuje PARP, o czym informuje wnioskodawcę w zawiadomieniu, o którym mowa w ust. 8.</w:t>
      </w:r>
    </w:p>
    <w:p w14:paraId="18CD0165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Zawiadomienie o terminie i formie posiedzenia Panelu Ekspertów, wraz z wezwaniem do obowiązkowego udziału, wysyłane jest na adres poczty elektronicznej wnioskodawcy, na co najmniej 7 dni przed planowanym terminem posiedzenia. Brak udziału  wnioskodawcy na posiedzeniu Panelu Ekspertów w wyznaczonym terminie i formie jest równoznaczny z wycofaniem wniosku o dofinansowanie.</w:t>
      </w:r>
    </w:p>
    <w:p w14:paraId="0BBB42AE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Wyznaczony termin posiedzenia Panelu Ekspertów nie podlega zmianie, z wyjątkiem przypadków losowych – niezależnych od wnioskodawcy oraz zdarzeń o charakterze siły wyższej. Ponadto, na prośbę wnioskodawcy, PARP dopuszcza możliwość jednokrotnej zmiany terminu posiedzenia Panelu Ekspertów zaplanowanego z wykorzystaniem środków komunikacji elektronicznej. W takich przypadkach PARP wyznacza nowy termin posiedzenia Panelu Ekspertów i informuje o tym wnioskodawcę zgodnie z zasadami określonymi w ust. 8, przy czym kolejny wyznaczony termin posiedzenia Panelu Ekspertów nie może wpłynąć na termin rozstrzygnięcia, o którym mowa w §</w:t>
      </w:r>
      <w:r w:rsidR="00364FEF">
        <w:rPr>
          <w:rStyle w:val="Brak"/>
          <w:rFonts w:ascii="Calibri" w:hAnsi="Calibri"/>
        </w:rPr>
        <w:t xml:space="preserve"> </w:t>
      </w:r>
      <w:r>
        <w:rPr>
          <w:rStyle w:val="Brak"/>
          <w:rFonts w:ascii="Calibri" w:hAnsi="Calibri"/>
        </w:rPr>
        <w:t xml:space="preserve">10 ust. 4. </w:t>
      </w:r>
    </w:p>
    <w:p w14:paraId="29F9CF86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trakcie posiedzenia Panelu Ekspertów wnioskodawca przedstawia założenia projektu w zakresie kryteriów wyboru projektów właściwych dla II etapu oceny.</w:t>
      </w:r>
    </w:p>
    <w:p w14:paraId="6F9B1800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Maksymalny czas na prezentację wynosi 30 minut. Prezentacji dokonuje osoba upoważniona do reprezentowania wnioskodawcy na podstawie dokumentu rejestrowego lub upoważniony pracownik wnioskodawcy. W posiedzeniu mogą brać udział również członkowie konsorcjum (o ile występują) razem z wnioskodawcą. Prezentacji nie może dokonać przedstawiciel podmiotu zewnętrznego, w tym zwłaszcza firmy doradczej. W posiedzeniu po stronie wnioskodawcy mogą wziąć udział maksymalnie 4 osoby. </w:t>
      </w:r>
    </w:p>
    <w:p w14:paraId="2BF4AD6A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lastRenderedPageBreak/>
        <w:t>Panel Ekspertów ma prawo zadawać pytania dotyczące spełniania przez projekt kryteriów wyboru projektów właściwych dla II etapu oceny, w tym zwłaszcza kryterium dotyczącym zdolności wnioskodawcy oraz członków konsorcjum (o ile występują) do zapewnienia finansowania projektu.</w:t>
      </w:r>
    </w:p>
    <w:p w14:paraId="64AD8742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Przebieg posiedzenia Panelu Ekspertów z udziałem wnioskodawcy jest rejestrowany (dźwięk lub dźwięk i wizja).</w:t>
      </w:r>
    </w:p>
    <w:p w14:paraId="702AE151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lub osoba przez niego upoważniona może zapoznać się z nagraniem, o którym mowa w ust. 13, po rozstrzygnięciu rundy konkursu, o którym mowa w §10 ust. 4, wyłącznie w siedzibie PARP po złożeniu pisemnego wniosku o zapoznanie się z nagraniem.</w:t>
      </w:r>
    </w:p>
    <w:p w14:paraId="3812C14F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może wezwać wnioskodawcę do poprawy lub uzupełnienia wniosku o dofinansowanie w zakresie podlegającym ocenie spełnienia kryteriów wyboru projektów właściwych dla II etapu oceny, o ile możliwość taka została przewidziana dla danego kryterium w załączniku nr 1 do regulaminu.</w:t>
      </w:r>
    </w:p>
    <w:p w14:paraId="428EC84B" w14:textId="7D947EE3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przypadku, o którym mowa w ust. 15 PARP, na adres poczty elektronicznej wnioskodawcy, wysyła informację o wezwaniu w GW do poprawy lub uzupełnienia wniosku o dofinansowanie w terminie </w:t>
      </w:r>
      <w:r w:rsidR="0056448D">
        <w:rPr>
          <w:rStyle w:val="Brak"/>
          <w:rFonts w:ascii="Calibri" w:hAnsi="Calibri"/>
        </w:rPr>
        <w:t xml:space="preserve">10 </w:t>
      </w:r>
      <w:r>
        <w:rPr>
          <w:rStyle w:val="Brak"/>
          <w:rFonts w:ascii="Calibri" w:hAnsi="Calibri"/>
        </w:rPr>
        <w:t>dni roboczych od dnia następującego po dniu wysłania przez PARP informacji o wezwaniu (dla biegu tego terminu nie ma znaczenia dzień odebrania wezwania przez wnioskodawcę).</w:t>
      </w:r>
    </w:p>
    <w:p w14:paraId="7AA6C1DB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Dla sprawdzenia czy wnioskodawca dochował terminu stosuje się odpowiednio zasady, o których mowa w §7 ust. 5.</w:t>
      </w:r>
    </w:p>
    <w:p w14:paraId="6A67DBE0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ocenie II etapu możliwe jest jednokrotne dokonanie poprawy lub uzupełnień wniosku o dofinansowanie w ramach danego kryterium.</w:t>
      </w:r>
    </w:p>
    <w:p w14:paraId="2D6B212E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jest zobowiązany do poprawienia lub uzupełnienia wniosku o dofinansowanie wyłącznie w zakresie wskazanym w wezwaniu.</w:t>
      </w:r>
    </w:p>
    <w:p w14:paraId="01E49E68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Jeżeli wnioskodawca nie poprawi lub nie uzupełni wniosku o dofinansowanie w terminie lub zakresie wskazanym w wezwaniu, ocena projektu prowadzona jest na podstawie złożonego wniosku o dofinansowanie.</w:t>
      </w:r>
    </w:p>
    <w:p w14:paraId="3A9DB434" w14:textId="77777777"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poprawionego lub uzupełnionego wniosku o dofinansowanie, gdy Panel Ekspertów uzna za niekwalifikowalne:</w:t>
      </w:r>
    </w:p>
    <w:p w14:paraId="4F17001D" w14:textId="77777777" w:rsidR="001C5221" w:rsidRDefault="0078441F">
      <w:pPr>
        <w:numPr>
          <w:ilvl w:val="0"/>
          <w:numId w:val="8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mniej niż 10% kosztów wskazanych przez wnioskodawcę jako kwalifikowalne we wniosku o dofinansowanie, rekomenduje wnioskodawcy przeniesienie tych wydatków do wydatków niekwalifikowalnych,</w:t>
      </w:r>
    </w:p>
    <w:p w14:paraId="406C457B" w14:textId="77777777" w:rsidR="001C5221" w:rsidRDefault="0078441F">
      <w:pPr>
        <w:numPr>
          <w:ilvl w:val="0"/>
          <w:numId w:val="8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10% lub więcej kosztów wskazanych przez wnioskodawcę jako kwalifikowalne we wniosku o dofinansowanie, kryterium wyboru projektów „Wydatki w ramach projektu są kwalifikowalne, racjonalne i uzasadnione.” jest niespełnione. </w:t>
      </w:r>
    </w:p>
    <w:p w14:paraId="14B25D92" w14:textId="2FC69298" w:rsidR="001C5221" w:rsidRPr="0056448D" w:rsidRDefault="0078441F">
      <w:pPr>
        <w:numPr>
          <w:ilvl w:val="0"/>
          <w:numId w:val="88"/>
        </w:numPr>
        <w:spacing w:after="120" w:line="276" w:lineRule="auto"/>
        <w:rPr>
          <w:rStyle w:val="Brak"/>
        </w:rPr>
      </w:pPr>
      <w:r>
        <w:rPr>
          <w:rStyle w:val="Brak"/>
          <w:rFonts w:ascii="Calibri" w:hAnsi="Calibri"/>
        </w:rPr>
        <w:lastRenderedPageBreak/>
        <w:t xml:space="preserve">PARP wysyła na adres poczty elektronicznej wnioskodawcy, informację o wezwaniu wnioskodawcy w GW do wyrażenia zgody na zmianę, o której mowa w ust. 21 pkt 1, w terminie </w:t>
      </w:r>
      <w:r w:rsidR="0056448D">
        <w:rPr>
          <w:rStyle w:val="Brak"/>
          <w:rFonts w:ascii="Calibri" w:hAnsi="Calibri"/>
        </w:rPr>
        <w:t xml:space="preserve">5 </w:t>
      </w:r>
      <w:r>
        <w:rPr>
          <w:rStyle w:val="Brak"/>
          <w:rFonts w:ascii="Calibri" w:hAnsi="Calibri"/>
        </w:rPr>
        <w:t>dni roboczych od dnia następującego po dniu wysłania przez PARP informacji o wezwaniu w GW (dla biegu tego terminu nie ma znaczenia dzień odebrania wezwania przez wnioskodawcę). Wyrażenie zgody następuje w formie pisemnej, poprzez załączenie w GW skanu pisma podpisanego zgodnie z zasadami reprezentowania wnioskodawcy</w:t>
      </w:r>
      <w:r w:rsidR="0056448D">
        <w:rPr>
          <w:rStyle w:val="Brak"/>
          <w:rFonts w:ascii="Calibri" w:hAnsi="Calibri"/>
        </w:rPr>
        <w:t>,</w:t>
      </w:r>
      <w:r w:rsidR="0056448D" w:rsidRPr="0056448D">
        <w:rPr>
          <w:rStyle w:val="Brak"/>
          <w:rFonts w:ascii="Calibri" w:hAnsi="Calibri"/>
        </w:rPr>
        <w:t xml:space="preserve"> a następnie wnioskodawca składa skorygowany wniosek o dofinansowanie zgodnie z zasadami określonymi w § 12 ust. 1-2.</w:t>
      </w:r>
    </w:p>
    <w:p w14:paraId="19BC745F" w14:textId="77777777" w:rsidR="001C5221" w:rsidRDefault="0078441F">
      <w:pPr>
        <w:numPr>
          <w:ilvl w:val="0"/>
          <w:numId w:val="82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Brak zgody wnioskodawcy lub brak odpowiedzi w terminie, o którym mowa w ust. 22 powoduje, że kryterium wyboru projektów „Wydatki w ramach projektu są kwalifikowalne, racjonalne i uzasadnione” jest niespełnione.</w:t>
      </w:r>
    </w:p>
    <w:p w14:paraId="6DC91B2E" w14:textId="4A825CAA" w:rsidR="009334B7" w:rsidRPr="009334B7" w:rsidRDefault="009334B7" w:rsidP="009334B7">
      <w:pPr>
        <w:numPr>
          <w:ilvl w:val="0"/>
          <w:numId w:val="82"/>
        </w:numPr>
        <w:spacing w:after="120" w:line="276" w:lineRule="auto"/>
        <w:rPr>
          <w:rStyle w:val="Brak"/>
        </w:rPr>
      </w:pPr>
      <w:r w:rsidRPr="009334B7">
        <w:rPr>
          <w:rStyle w:val="Brak"/>
          <w:rFonts w:ascii="Calibri" w:hAnsi="Calibri"/>
        </w:rPr>
        <w:t>W przypadku poprawionego lub uzupełnionego wniosku o dofinansowanie, Panel Ekspertów może uznać, że projekt spełnia kryterium wyboru projektów „Wskaźniki projektu są obiektywnie weryfikowalne i odzwier</w:t>
      </w:r>
      <w:r>
        <w:rPr>
          <w:rStyle w:val="Brak"/>
          <w:rFonts w:ascii="Calibri" w:hAnsi="Calibri"/>
        </w:rPr>
        <w:t>ciedlają założone cele projektu</w:t>
      </w:r>
      <w:r w:rsidRPr="009334B7">
        <w:rPr>
          <w:rStyle w:val="Brak"/>
          <w:rFonts w:ascii="Calibri" w:hAnsi="Calibri"/>
        </w:rPr>
        <w:t>”,</w:t>
      </w:r>
      <w:r>
        <w:rPr>
          <w:rStyle w:val="Brak"/>
          <w:rFonts w:ascii="Calibri" w:hAnsi="Calibri"/>
        </w:rPr>
        <w:t xml:space="preserve"> </w:t>
      </w:r>
      <w:r w:rsidRPr="009334B7">
        <w:rPr>
          <w:rStyle w:val="Brak"/>
          <w:rFonts w:ascii="Calibri" w:hAnsi="Calibri"/>
        </w:rPr>
        <w:t>jednak wskazane jest wprowadzenie zmian we wskaźnikach produktu lub rezultatu określonych we wniosku o dofinansowanie, niemających znaczenia dla oceny spełnienia kryterium wyboru projektów „Wskaźniki projektu są obiektywnie weryfikowalne i odzwierciedlają założone cele projektu”. W takim przypadku Panel Ekspertów wskazuje w uzasadnieniu oceny, w jakim zakresie należy skorygować wniosek o dofinansowanie. Wnioskodawca składa skorygowany wniosek o dofinansowanie zgodnie z zasadami określonymi w § 12 ust. 1-2.</w:t>
      </w:r>
    </w:p>
    <w:p w14:paraId="5724962A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§10. Zasady ustalania wyniku oceny projektów</w:t>
      </w:r>
    </w:p>
    <w:p w14:paraId="31A1BD2C" w14:textId="77777777" w:rsidR="001C5221" w:rsidRDefault="0078441F">
      <w:pPr>
        <w:pStyle w:val="Akapitzlist"/>
        <w:numPr>
          <w:ilvl w:val="0"/>
          <w:numId w:val="9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Projekt może zostać wybrany do dofinansowania, jeżeli:</w:t>
      </w:r>
    </w:p>
    <w:p w14:paraId="24E31AC0" w14:textId="77777777" w:rsidR="001C5221" w:rsidRDefault="0078441F">
      <w:pPr>
        <w:pStyle w:val="Akapitzlist"/>
        <w:numPr>
          <w:ilvl w:val="0"/>
          <w:numId w:val="9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spełnił kryteria wyboru projektów oraz</w:t>
      </w:r>
    </w:p>
    <w:p w14:paraId="37860274" w14:textId="77777777" w:rsidR="001C5221" w:rsidRDefault="0078441F">
      <w:pPr>
        <w:pStyle w:val="Akapitzlist"/>
        <w:numPr>
          <w:ilvl w:val="0"/>
          <w:numId w:val="9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kwota przeznaczona na dofinansowanie projektów w konkursie, o której mowa w §3 ust. 4, umożliwia wybranie go do dofinansowania.</w:t>
      </w:r>
    </w:p>
    <w:p w14:paraId="2B18F9A7" w14:textId="77777777" w:rsidR="001C5221" w:rsidRDefault="0078441F">
      <w:pPr>
        <w:pStyle w:val="Akapitzlist"/>
        <w:numPr>
          <w:ilvl w:val="0"/>
          <w:numId w:val="9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przypadku, gdy kwota przeznaczona na dofinansowanie projektów w konkursie, o której mowa w § 3 ust. 4 uniemożliwia dofinansowanie wszystkich projektów, o których mowa w ust. 1 dofinansowanie uzyskują projekty, które zdobędą największą liczbę punktów w ramach oceny kryteriów wyboru projektów. W przypadku projektów, które w wyniku oceny uzyskały taką samą liczbę punktów, o wyborze do dofinansowania decydować będą kryteria rozstrzygające określone w załączniku nr 1 do regulaminu.</w:t>
      </w:r>
    </w:p>
    <w:p w14:paraId="782E4984" w14:textId="77777777" w:rsidR="001C5221" w:rsidRDefault="0078441F">
      <w:pPr>
        <w:pStyle w:val="Akapitzlist"/>
        <w:numPr>
          <w:ilvl w:val="0"/>
          <w:numId w:val="9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 zakończeniu oceny wszystkich projektów PARP zatwierdza listę ocenionych projektów zawierającą przyznane oceny z wyróżnieniem projektów wybranych do dofinansowania, w ramach kwoty o której mowa w § 3 ust. 4.</w:t>
      </w:r>
    </w:p>
    <w:p w14:paraId="22C74298" w14:textId="77777777" w:rsidR="001C5221" w:rsidRDefault="0078441F">
      <w:pPr>
        <w:pStyle w:val="Akapitzlist"/>
        <w:numPr>
          <w:ilvl w:val="0"/>
          <w:numId w:val="9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Zatwierdzenie przez PARP listy, o której mowa w ust. 3 stanowi rozstrzygnięcie rundy konkursu.</w:t>
      </w:r>
    </w:p>
    <w:p w14:paraId="51527B96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lastRenderedPageBreak/>
        <w:t>§11. Informacja o przyznaniu dofinansowania</w:t>
      </w:r>
    </w:p>
    <w:p w14:paraId="645C1670" w14:textId="77777777" w:rsidR="001C5221" w:rsidRDefault="0078441F">
      <w:pPr>
        <w:numPr>
          <w:ilvl w:val="0"/>
          <w:numId w:val="9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Niezwłocznie po zakończeniu oceny, PARP informuje na piśmie każdego z wnioskodawców o wynikach oceny jego projektu wraz z uzasadnieniem oceny i podaniem liczby punktów uzyskanych przez projekt. </w:t>
      </w:r>
    </w:p>
    <w:p w14:paraId="3BD5A493" w14:textId="77777777" w:rsidR="001C5221" w:rsidRDefault="0078441F">
      <w:pPr>
        <w:numPr>
          <w:ilvl w:val="0"/>
          <w:numId w:val="9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terminie 3 dni od rozstrzygnięcia rundy konkursu, o którym mowa w § 10 ust. 4, PARP publikuje na swojej stronie internetowej oraz na portalu listę projektów, które spełniły kryteria wyboru projektów i uzyskały wymaganą liczbę punktów, z wyróżnieniem projektów wybranych do dofinansowania. </w:t>
      </w:r>
    </w:p>
    <w:p w14:paraId="0E1765BC" w14:textId="77777777" w:rsidR="001C5221" w:rsidRDefault="0078441F">
      <w:pPr>
        <w:numPr>
          <w:ilvl w:val="0"/>
          <w:numId w:val="9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Informacja o negatywnej ocenie projektu zawiera pouczenie o możliwości wniesienia protestu zgodnie z rozdziałem 15 ustawy wdrożeniowej.</w:t>
      </w:r>
    </w:p>
    <w:p w14:paraId="6C6A8D2B" w14:textId="77777777" w:rsidR="002433E4" w:rsidRDefault="0078441F">
      <w:pPr>
        <w:numPr>
          <w:ilvl w:val="0"/>
          <w:numId w:val="95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Przewidywany termin rozstrzygnięcia rundy konkursu, o którym mowa w § 10 ust. 4 to</w:t>
      </w:r>
      <w:r w:rsidR="00E04D38">
        <w:rPr>
          <w:rStyle w:val="Brak"/>
          <w:rFonts w:ascii="Calibri" w:hAnsi="Calibri"/>
        </w:rPr>
        <w:t>:</w:t>
      </w:r>
    </w:p>
    <w:p w14:paraId="75F8A86B" w14:textId="0629CF56" w:rsidR="002433E4" w:rsidRDefault="002433E4" w:rsidP="00EF6AA8">
      <w:pPr>
        <w:pStyle w:val="Akapitzlist"/>
        <w:numPr>
          <w:ilvl w:val="0"/>
          <w:numId w:val="112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4 miesiące dla rundy I, II i III</w:t>
      </w:r>
      <w:r w:rsidR="00EE729E">
        <w:rPr>
          <w:rStyle w:val="Brak"/>
          <w:rFonts w:ascii="Calibri" w:hAnsi="Calibri"/>
        </w:rPr>
        <w:t>;</w:t>
      </w:r>
    </w:p>
    <w:p w14:paraId="1D056760" w14:textId="64F9CE0A" w:rsidR="002433E4" w:rsidRDefault="0078441F" w:rsidP="00EF6AA8">
      <w:pPr>
        <w:pStyle w:val="Akapitzlist"/>
        <w:numPr>
          <w:ilvl w:val="0"/>
          <w:numId w:val="112"/>
        </w:numPr>
        <w:spacing w:after="120" w:line="276" w:lineRule="auto"/>
        <w:rPr>
          <w:rStyle w:val="Brak"/>
          <w:rFonts w:ascii="Calibri" w:hAnsi="Calibri"/>
        </w:rPr>
      </w:pPr>
      <w:r w:rsidRPr="002433E4">
        <w:rPr>
          <w:rStyle w:val="Brak"/>
          <w:rFonts w:ascii="Calibri" w:hAnsi="Calibri"/>
        </w:rPr>
        <w:t> </w:t>
      </w:r>
      <w:r w:rsidR="00822DBB" w:rsidRPr="002433E4">
        <w:rPr>
          <w:rStyle w:val="Brak"/>
          <w:rFonts w:ascii="Calibri" w:hAnsi="Calibri"/>
        </w:rPr>
        <w:t xml:space="preserve">5 miesięcy </w:t>
      </w:r>
      <w:r w:rsidR="002433E4">
        <w:rPr>
          <w:rStyle w:val="Brak"/>
          <w:rFonts w:ascii="Calibri" w:hAnsi="Calibri"/>
        </w:rPr>
        <w:t>dla rundy IV,</w:t>
      </w:r>
    </w:p>
    <w:p w14:paraId="32A697F8" w14:textId="4E72EBC0" w:rsidR="001C5221" w:rsidRPr="00EF6AA8" w:rsidRDefault="00EF41F1" w:rsidP="00EF6AA8">
      <w:pPr>
        <w:spacing w:after="120" w:line="276" w:lineRule="auto"/>
        <w:ind w:left="708"/>
      </w:pPr>
      <w:r>
        <w:rPr>
          <w:rStyle w:val="Brak"/>
          <w:rFonts w:ascii="Calibri" w:hAnsi="Calibri"/>
        </w:rPr>
        <w:t>l</w:t>
      </w:r>
      <w:r w:rsidR="002433E4">
        <w:rPr>
          <w:rStyle w:val="Brak"/>
          <w:rFonts w:ascii="Calibri" w:hAnsi="Calibri"/>
        </w:rPr>
        <w:t xml:space="preserve">icząc </w:t>
      </w:r>
      <w:r w:rsidR="0078441F" w:rsidRPr="00EF6AA8">
        <w:rPr>
          <w:rStyle w:val="Brak"/>
          <w:rFonts w:ascii="Calibri" w:hAnsi="Calibri"/>
        </w:rPr>
        <w:t>od dnia zamknięcia naboru wniosków o dofinansowanie w danej rundzie konkursu.</w:t>
      </w:r>
    </w:p>
    <w:p w14:paraId="3C20C130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§12. Warunki zawarcia umowy o dofinansowanie projektu</w:t>
      </w:r>
    </w:p>
    <w:p w14:paraId="4FA01BD6" w14:textId="77777777" w:rsidR="00822DBB" w:rsidRDefault="0078441F">
      <w:pPr>
        <w:numPr>
          <w:ilvl w:val="0"/>
          <w:numId w:val="97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Wraz z informacją o wyborze projektu do dofinansowania, PARP wzywa na piśmie wnioskodawcę do dostarczenia</w:t>
      </w:r>
      <w:r w:rsidR="00822DBB">
        <w:rPr>
          <w:rStyle w:val="Brak"/>
          <w:rFonts w:ascii="Calibri" w:hAnsi="Calibri"/>
        </w:rPr>
        <w:t>:</w:t>
      </w:r>
    </w:p>
    <w:p w14:paraId="4C58D2EF" w14:textId="5E624C2B" w:rsidR="00822DBB" w:rsidRDefault="00822DBB" w:rsidP="00822DBB">
      <w:pPr>
        <w:spacing w:after="120" w:line="276" w:lineRule="auto"/>
        <w:ind w:left="502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1)</w:t>
      </w:r>
      <w:r w:rsidR="0078441F">
        <w:rPr>
          <w:rStyle w:val="Brak"/>
          <w:rFonts w:ascii="Calibri" w:hAnsi="Calibri"/>
        </w:rPr>
        <w:t xml:space="preserve"> dokumentów niezbędnych do zawarcia umowy o dofinansowanie projektu, wymienionych w załączniku nr 5 do regulaminu</w:t>
      </w:r>
      <w:r w:rsidR="00EE729E">
        <w:rPr>
          <w:rStyle w:val="Brak"/>
          <w:rFonts w:ascii="Calibri" w:hAnsi="Calibri"/>
        </w:rPr>
        <w:t>;</w:t>
      </w:r>
    </w:p>
    <w:p w14:paraId="06A0EDC6" w14:textId="2E173E6F" w:rsidR="001C5221" w:rsidRDefault="00822DBB" w:rsidP="00822DBB">
      <w:pPr>
        <w:spacing w:after="120" w:line="276" w:lineRule="auto"/>
        <w:ind w:left="502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2) </w:t>
      </w:r>
      <w:r w:rsidRPr="00822DBB">
        <w:rPr>
          <w:rStyle w:val="Brak"/>
          <w:rFonts w:ascii="Calibri" w:hAnsi="Calibri"/>
        </w:rPr>
        <w:t>skorygowanego wniosku o dofinansowanie, w przypadku o którym mowa w §</w:t>
      </w:r>
      <w:r>
        <w:rPr>
          <w:rStyle w:val="Brak"/>
          <w:rFonts w:ascii="Calibri" w:hAnsi="Calibri"/>
        </w:rPr>
        <w:t> </w:t>
      </w:r>
      <w:r w:rsidRPr="00822DBB">
        <w:rPr>
          <w:rStyle w:val="Brak"/>
          <w:rFonts w:ascii="Calibri" w:hAnsi="Calibri"/>
        </w:rPr>
        <w:t>9 ust.</w:t>
      </w:r>
      <w:r>
        <w:rPr>
          <w:rStyle w:val="Brak"/>
          <w:rFonts w:ascii="Calibri" w:hAnsi="Calibri"/>
        </w:rPr>
        <w:t> </w:t>
      </w:r>
      <w:r w:rsidR="00500BB5">
        <w:rPr>
          <w:rStyle w:val="Brak"/>
          <w:rFonts w:ascii="Calibri" w:hAnsi="Calibri"/>
        </w:rPr>
        <w:t xml:space="preserve">22 lub ust. </w:t>
      </w:r>
      <w:r w:rsidRPr="00822DBB">
        <w:rPr>
          <w:rStyle w:val="Brak"/>
          <w:rFonts w:ascii="Calibri" w:hAnsi="Calibri"/>
        </w:rPr>
        <w:t>24</w:t>
      </w:r>
      <w:r w:rsidR="0078441F">
        <w:rPr>
          <w:rStyle w:val="Brak"/>
          <w:rFonts w:ascii="Calibri" w:hAnsi="Calibri"/>
        </w:rPr>
        <w:t>.</w:t>
      </w:r>
    </w:p>
    <w:p w14:paraId="66CE7B53" w14:textId="7C10F518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dostarcza dokumenty niezbędne do zawarcia umowy o dofinansowanie w terminie 14 dni od dnia doręczenia wezwania, o którym mowa w ust. 1. W przypadku niedostarczenia kompletnych co do formy i treści dokumentów w tym terminie, PARP może odstąpić od zawarcia umowy o dofinansowanie projektu.</w:t>
      </w:r>
    </w:p>
    <w:p w14:paraId="1A5E1A69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Przed zawarciem umowy o dofinansowanie projektu PARP dokona weryfikacji, czy wnioskodawca oraz członkowie konsorcjum (o ile występują) mogą otrzymać dofinansowanie, w szczególności:</w:t>
      </w:r>
    </w:p>
    <w:p w14:paraId="27280045" w14:textId="77777777" w:rsidR="001C5221" w:rsidRDefault="0078441F">
      <w:pPr>
        <w:spacing w:after="120" w:line="276" w:lineRule="auto"/>
        <w:ind w:left="502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1) wystąpi do Ministra Finansów o informację czy wnioskodawca oraz członkowie konsorcjum (o ile występują) występujący w rekomendowanym do dofinansowania projekcie nie są podmiotami wykluczonymi na podstawie art. 207 ustawy z dnia 27 sierpnia 2009 r. o finansach publicznych;</w:t>
      </w:r>
    </w:p>
    <w:p w14:paraId="449F0D8A" w14:textId="77777777" w:rsidR="001C5221" w:rsidRDefault="0078441F">
      <w:pPr>
        <w:spacing w:after="120" w:line="276" w:lineRule="auto"/>
        <w:ind w:left="502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lastRenderedPageBreak/>
        <w:t>2) potwierdzi, że wnioskodawca lub którykolwiek z członków konsorcjum (o ile występują) nie naruszył w sposób istotny umowy zawartej z PARP w związku z art. 6b ust. 3 pkt 3 lit. c ustawy o PARP;</w:t>
      </w:r>
    </w:p>
    <w:p w14:paraId="24D742FF" w14:textId="77777777" w:rsidR="001C5221" w:rsidRDefault="0078441F">
      <w:pPr>
        <w:spacing w:after="120" w:line="276" w:lineRule="auto"/>
        <w:ind w:left="502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3) zweryfikuje status MŚP wnioskodawcy oraz członków konsorcjum (o ile występują);</w:t>
      </w:r>
    </w:p>
    <w:p w14:paraId="7131FEA2" w14:textId="77777777" w:rsidR="001C5221" w:rsidRDefault="0078441F">
      <w:pPr>
        <w:pStyle w:val="Akapitzlist"/>
        <w:spacing w:after="120" w:line="276" w:lineRule="auto"/>
        <w:ind w:left="499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4) zweryfikuje możliwości udzielenia pomocy publicznej lub pomocy de minimis.</w:t>
      </w:r>
    </w:p>
    <w:p w14:paraId="2602906D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Oświadczenie wnioskodawcy dotyczące aktualności danych i oświadczeń składane jest pod rygorem odpowiedzialności karnej za składanie fałszywych zeznań, z wyjątkiem oświadczenia, o którym mowa w art. 41 ust. 2 pkt 7c ustawy wdrożeniowej.</w:t>
      </w:r>
    </w:p>
    <w:p w14:paraId="4B6B7DF0" w14:textId="77777777" w:rsidR="001C5221" w:rsidRDefault="0078441F">
      <w:pPr>
        <w:pStyle w:val="Akapitzlist"/>
        <w:numPr>
          <w:ilvl w:val="0"/>
          <w:numId w:val="9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Wraz z formularzem „Analiza zgodności projektu z polityką ochrony środowiska” wypełnionym zgodnie ze wzorem zawartym w dokumentacji konkursowej wnioskodawca jest zobowiązany do przedstawienia „zezwolenia na inwestycję”</w:t>
      </w:r>
      <w:r>
        <w:rPr>
          <w:rStyle w:val="Brak"/>
          <w:rFonts w:ascii="Calibri" w:eastAsia="Calibri" w:hAnsi="Calibri" w:cs="Calibri"/>
          <w:vertAlign w:val="superscript"/>
        </w:rPr>
        <w:footnoteReference w:id="3"/>
      </w:r>
      <w:r>
        <w:rPr>
          <w:rStyle w:val="Brak"/>
          <w:rFonts w:ascii="Calibri" w:hAnsi="Calibri"/>
        </w:rPr>
        <w:t xml:space="preserve"> oraz innych dokumentów niezbędnych do rozpoczęcia robót budowlanych, w szczególności zgłoszenia robót budowlanych, do których nie wniesiono sprzeciwu (w zakresie, w jakim dotyczy projektu).</w:t>
      </w:r>
    </w:p>
    <w:p w14:paraId="75CB3FF1" w14:textId="77777777" w:rsidR="001C5221" w:rsidRDefault="0078441F">
      <w:pPr>
        <w:pStyle w:val="Akapitzlist"/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braku możliwości przedłożenia w terminie określonym w ust. 2:</w:t>
      </w:r>
    </w:p>
    <w:p w14:paraId="11610600" w14:textId="77777777" w:rsidR="001C5221" w:rsidRDefault="0078441F">
      <w:pPr>
        <w:spacing w:line="276" w:lineRule="auto"/>
        <w:ind w:left="505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 xml:space="preserve">1) „zezwolenia na inwestycję”, o którym mowa w ust. 5 lub </w:t>
      </w:r>
    </w:p>
    <w:p w14:paraId="522FF4CE" w14:textId="77777777" w:rsidR="001C5221" w:rsidRDefault="0078441F">
      <w:pPr>
        <w:spacing w:line="276" w:lineRule="auto"/>
        <w:ind w:left="505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2) innych dokumentów, o których mowa w ust. 5, niezbędnych do rozpoczęcia robót budowlanych, w szczególności zgłoszenia robót budowlanych, do których nie wniesiono sprzeciwu lub</w:t>
      </w:r>
    </w:p>
    <w:p w14:paraId="14CF75A1" w14:textId="77777777" w:rsidR="001C5221" w:rsidRDefault="0078441F">
      <w:pPr>
        <w:spacing w:line="276" w:lineRule="auto"/>
        <w:ind w:left="505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3) dokumentów potwierdzających uzyskanie zewnętrznego finansowania projektu lub</w:t>
      </w:r>
    </w:p>
    <w:p w14:paraId="75E05F73" w14:textId="1F15AEA0" w:rsidR="001C5221" w:rsidRDefault="0078441F">
      <w:pPr>
        <w:spacing w:after="120" w:line="276" w:lineRule="auto"/>
        <w:ind w:left="502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4) sprawozdania finansowego za ostatni rok obrotowy sporządzonego zgodnie z przepisami ustawy z dnia 29 września 1994 r. o rachunkowości (Dz. U. z 201</w:t>
      </w:r>
      <w:r w:rsidR="00EE729E">
        <w:rPr>
          <w:rStyle w:val="Brak"/>
          <w:rFonts w:ascii="Calibri" w:hAnsi="Calibri"/>
        </w:rPr>
        <w:t>9</w:t>
      </w:r>
      <w:r>
        <w:rPr>
          <w:rStyle w:val="Brak"/>
          <w:rFonts w:ascii="Calibri" w:hAnsi="Calibri"/>
        </w:rPr>
        <w:t xml:space="preserve"> r. poz. 35</w:t>
      </w:r>
      <w:r w:rsidR="00EE729E">
        <w:rPr>
          <w:rStyle w:val="Brak"/>
          <w:rFonts w:ascii="Calibri" w:hAnsi="Calibri"/>
        </w:rPr>
        <w:t>1</w:t>
      </w:r>
      <w:r>
        <w:rPr>
          <w:rStyle w:val="Brak"/>
          <w:rFonts w:ascii="Calibri" w:hAnsi="Calibri"/>
        </w:rPr>
        <w:t>, z późn. zm.) potwierdzającego posiadanie deklarowanego przez wnioskodawcę oraz członków konsorcjum (o ile występują) we wniosku o dofinansowanie statusu odpowiednio mikroprzedsiębiorcy, małego lub średniego przedsiębiorcy oraz potwierdzającego, że nie znajduje się on w trudnej sytuacji w rozumieniu unijnych przepisów dotyczących pomocy państwa.</w:t>
      </w:r>
    </w:p>
    <w:p w14:paraId="3BBAC74C" w14:textId="77777777" w:rsidR="001C5221" w:rsidRDefault="0078441F">
      <w:pPr>
        <w:spacing w:after="120" w:line="276" w:lineRule="auto"/>
        <w:ind w:left="502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 xml:space="preserve">PARP może zawrzeć z wnioskodawcą tzw. </w:t>
      </w:r>
      <w:r>
        <w:rPr>
          <w:rStyle w:val="Brak"/>
          <w:rFonts w:ascii="Calibri" w:hAnsi="Calibri"/>
          <w:b/>
          <w:bCs/>
        </w:rPr>
        <w:t>umowę warunkową</w:t>
      </w:r>
      <w:r>
        <w:rPr>
          <w:rStyle w:val="Brak"/>
          <w:rFonts w:ascii="Calibri" w:hAnsi="Calibri"/>
        </w:rPr>
        <w:t>, o której mowa w §9a/8a</w:t>
      </w:r>
      <w:r>
        <w:rPr>
          <w:rStyle w:val="Brak"/>
          <w:rFonts w:ascii="Calibri" w:eastAsia="Calibri" w:hAnsi="Calibri" w:cs="Calibri"/>
          <w:vertAlign w:val="superscript"/>
        </w:rPr>
        <w:footnoteReference w:id="4"/>
      </w:r>
      <w:r>
        <w:rPr>
          <w:rStyle w:val="Brak"/>
          <w:rFonts w:ascii="Calibri" w:hAnsi="Calibri"/>
        </w:rPr>
        <w:t xml:space="preserve"> wzoru umowy o dofinansowanie projektu.</w:t>
      </w:r>
    </w:p>
    <w:p w14:paraId="077C86A7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umowie warunkowej, o której mowa w ust. 6, wnioskodawca zostanie zobowiązany do złożenia ostatecznych dokumentów, o których mowa w ust. 6 pkt 1, w tym ostatecznych pozwoleń na budowę oraz innych dokumentów, o których mowa w ust. 6 pkt 2, niezbędnych do rozpoczęcia robót budowlanych, w szczególności zgłoszenia </w:t>
      </w:r>
      <w:r>
        <w:rPr>
          <w:rStyle w:val="Brak"/>
          <w:rFonts w:ascii="Calibri" w:hAnsi="Calibri"/>
        </w:rPr>
        <w:lastRenderedPageBreak/>
        <w:t>robót budowlanych, do których nie wniesiono sprzeciwu, w terminie do 3 miesięcy od dnia zawarcia umowy o dofinansowanie projektu.</w:t>
      </w:r>
    </w:p>
    <w:p w14:paraId="4F46788D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umowie warunkowej, o której mowa w ust. 6, wnioskodawca zostanie zobowiązany do złożenia dokumentów potwierdzających zewnętrzne źródła finansowania projektu w terminie do 3 miesięcy od dnia zawarcia  umowy o dofinansowanie projektu.</w:t>
      </w:r>
    </w:p>
    <w:p w14:paraId="5D8BA8CA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umowie warunkowej, o której mowa w ust. 6, wnioskodawca zostanie zobowiązany do złożenia sprawozdania finansowego sporządzonego zgodnie z przepisami ustawy z dnia 29 września 1994 r. o rachunkowości, w terminie nie późniejszym niż 3 miesiące od dnia zawarcia umowy o dofinansowanie projektu.</w:t>
      </w:r>
    </w:p>
    <w:p w14:paraId="51D738FB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 bezskutecznym upływie terminów na złożenie do PARP dokumentów, o których mowa w ust. 7, 8 i 9, umowa warunkowa, o której mowa w ust. 6, ulega rozwiązaniu. W przypadku, gdy złożenie dokumentów, o których mowa w ust. 6, nie będzie możliwe w terminach, o których mowa odpowiednio w ust. 7, 8 i 9, beneficjent może, przed upływem tych terminów, złożyć wniosek o wydłużenie terminu złożenia dokumentów wraz z uzasadnieniem. PARP może wydłużyć termin złożenia dokumentów.</w:t>
      </w:r>
    </w:p>
    <w:p w14:paraId="48B1C8BA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sprawdza kompletność oraz prawidłowość sporządzenia dokumentów dostarczonych przez wnioskodawcę, o których mowa w ust. 1.</w:t>
      </w:r>
    </w:p>
    <w:p w14:paraId="676E75B6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Umowa o dofinansowanie projektu zostanie zawarta jeżeli: </w:t>
      </w:r>
    </w:p>
    <w:p w14:paraId="13A6C7C6" w14:textId="77777777" w:rsidR="001C5221" w:rsidRDefault="0078441F">
      <w:pPr>
        <w:numPr>
          <w:ilvl w:val="0"/>
          <w:numId w:val="10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projekt został umieszczony na zatwierdzonej liście projektów wybranych do dofinansowania;</w:t>
      </w:r>
    </w:p>
    <w:p w14:paraId="004AA5B0" w14:textId="77777777" w:rsidR="001C5221" w:rsidRDefault="0078441F">
      <w:pPr>
        <w:numPr>
          <w:ilvl w:val="0"/>
          <w:numId w:val="10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dostarczył wszystkie dokumenty, o których mowa w ust. 1, z zastrzeżeniem ust. 6;</w:t>
      </w:r>
    </w:p>
    <w:p w14:paraId="4AC3119A" w14:textId="77777777" w:rsidR="001C5221" w:rsidRDefault="0078441F">
      <w:pPr>
        <w:numPr>
          <w:ilvl w:val="0"/>
          <w:numId w:val="10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brak jest negatywnych przesłanek zawarcia umowy o dofinansowanie projektu w wyniku weryfikacji dokumentów, o których mowa w ust. 1;</w:t>
      </w:r>
    </w:p>
    <w:p w14:paraId="3887116C" w14:textId="77777777" w:rsidR="001C5221" w:rsidRDefault="0078441F">
      <w:pPr>
        <w:numPr>
          <w:ilvl w:val="0"/>
          <w:numId w:val="10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projekt spełnia wszystkie kryteria, na podstawie których został wybrany do dofinansowania.</w:t>
      </w:r>
    </w:p>
    <w:p w14:paraId="30B4213F" w14:textId="77777777" w:rsidR="001C5221" w:rsidRDefault="0078441F">
      <w:pPr>
        <w:numPr>
          <w:ilvl w:val="0"/>
          <w:numId w:val="10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PARP może odmówić udzielenia dofinansowania na podstawie art. 6b ust. 4 i 4a ustawy o PARP. </w:t>
      </w:r>
    </w:p>
    <w:p w14:paraId="096C2C88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Przed zawarciem umowy o dofinansowanie projektu PARP może zweryfikować ryzyko wystąpienia nieprawidłowości w zakresie realizacji projektu, po analizie informacji na temat projektów realizowanych przez wnioskodawcę oraz członków konsorcjum (o ile występują) na podstawie umów o dofinansowanie zawartych z PARP.</w:t>
      </w:r>
    </w:p>
    <w:p w14:paraId="15F50B31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Wzory umowy o dofinansowanie projektu stanowi załącznik nr 4 do regulaminu.</w:t>
      </w:r>
    </w:p>
    <w:p w14:paraId="74BB0999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  <w:b/>
          <w:bCs/>
        </w:rPr>
      </w:pPr>
      <w:r>
        <w:rPr>
          <w:rStyle w:val="Brak"/>
          <w:rFonts w:ascii="Calibri" w:hAnsi="Calibri"/>
        </w:rPr>
        <w:t xml:space="preserve">Wnioskodawca oraz członkowie konsorcjum (o ile występują) są zobowiązani do ustanowienia zabezpieczenia należytego wykonania umowy o dofinansowanie projektu w formach i na warunkach określonych w umowie o dofinansowanie projektu. </w:t>
      </w:r>
      <w:r>
        <w:rPr>
          <w:rStyle w:val="Brak"/>
          <w:rFonts w:ascii="Calibri" w:hAnsi="Calibri"/>
        </w:rPr>
        <w:lastRenderedPageBreak/>
        <w:t>Instrukcja przyjmowania oraz zwrotu zabezpieczeń jest udostępniana wraz z dokumentacją dotyczącą konkursu.</w:t>
      </w:r>
    </w:p>
    <w:p w14:paraId="466C38A1" w14:textId="77777777"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  <w:b/>
          <w:bCs/>
        </w:rPr>
      </w:pPr>
      <w:r>
        <w:rPr>
          <w:rStyle w:val="Brak"/>
          <w:rFonts w:ascii="Calibri" w:hAnsi="Calibri"/>
        </w:rPr>
        <w:t>PARP zastrzega możliwość powierzenia czynności w zakresie weryfikacji statusu MŚP oraz trudnej sytuacji wnioskodawcy i członków konsorcjum (o ile występują), o której mowa w art. 2 pkt 18 rozporządzenia KE nr 651/2014, podmiotom zewnętrznym.</w:t>
      </w:r>
    </w:p>
    <w:p w14:paraId="40C550AE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§13. Procedura odwoławcza</w:t>
      </w:r>
    </w:p>
    <w:p w14:paraId="6CB4F508" w14:textId="77777777" w:rsidR="001C5221" w:rsidRDefault="0078441F" w:rsidP="00BE0C29">
      <w:pPr>
        <w:numPr>
          <w:ilvl w:val="0"/>
          <w:numId w:val="103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W przypadku negatywnej oceny projektu, o której mowa w art. 53 ust. 2 ustawy wdrożeniowej, wnioskodawcy przysługuje prawo wniesienia, w terminie 14 dni od dnia doręczenia informacji o negatywnej ocenie, protestu na zasadach określonych w rozdziale 15 ustawy wdrożeniowej</w:t>
      </w:r>
      <w:r w:rsidR="00BE0C29">
        <w:rPr>
          <w:rStyle w:val="Brak"/>
          <w:rFonts w:ascii="Calibri" w:hAnsi="Calibri"/>
        </w:rPr>
        <w:t xml:space="preserve">, </w:t>
      </w:r>
      <w:r w:rsidR="00BE0C29" w:rsidRPr="00BE0C29">
        <w:rPr>
          <w:rStyle w:val="Brak"/>
          <w:rFonts w:ascii="Calibri" w:hAnsi="Calibri"/>
        </w:rPr>
        <w:t>z zastrzeżeniem ust. 2</w:t>
      </w:r>
      <w:r>
        <w:rPr>
          <w:rStyle w:val="Brak"/>
          <w:rFonts w:ascii="Calibri" w:hAnsi="Calibri"/>
        </w:rPr>
        <w:t xml:space="preserve">. </w:t>
      </w:r>
    </w:p>
    <w:p w14:paraId="75291B3B" w14:textId="77777777" w:rsidR="00BE0C29" w:rsidRDefault="00BE0C29" w:rsidP="00BE0C29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 w:rsidRPr="00BE0C29">
        <w:rPr>
          <w:rFonts w:ascii="Calibri" w:hAnsi="Calibri"/>
        </w:rPr>
        <w:t>W przypadku, gdy na skutek wystąpienia COVID-19 niemożliwe lub utrudnione jest wniesienie protestu, jego uzupełnienie lub poprawienie w nim oczywistych omyłek, w terminach, o których mowa odpowiednio w art. 54 ust. 1 lub w art. 54 ust. 3 ustawy wdrożeniowej, wnioskodawca może zwrócić się do PARP z uzasadnionym wnioskiem o</w:t>
      </w:r>
      <w:r>
        <w:rPr>
          <w:rFonts w:ascii="Calibri" w:hAnsi="Calibri"/>
        </w:rPr>
        <w:t> </w:t>
      </w:r>
      <w:r w:rsidRPr="00BE0C29">
        <w:rPr>
          <w:rFonts w:ascii="Calibri" w:hAnsi="Calibri"/>
        </w:rPr>
        <w:t>przedłużenie terminu odpowiednio na wniesienie protestu, jego uzupełnienie lub poprawienie w nim oczywistych omyłek.</w:t>
      </w:r>
    </w:p>
    <w:p w14:paraId="450692DB" w14:textId="047CC6AE" w:rsidR="00BE0C29" w:rsidRPr="0098142E" w:rsidRDefault="00BE0C29" w:rsidP="00146965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 w:rsidRPr="0098142E">
        <w:rPr>
          <w:rFonts w:ascii="Calibri" w:hAnsi="Calibri"/>
        </w:rPr>
        <w:t xml:space="preserve">Wniosek, o którym mowa w ust. 2, wnioskodawca kieruje na adres poczty elektronicznej: </w:t>
      </w:r>
      <w:r w:rsidR="00146965" w:rsidRPr="00146965">
        <w:rPr>
          <w:rFonts w:ascii="Calibri" w:hAnsi="Calibri"/>
        </w:rPr>
        <w:t>konkurs132popw@parp.gov.pl</w:t>
      </w:r>
      <w:r w:rsidRPr="0098142E">
        <w:rPr>
          <w:rFonts w:ascii="Calibri" w:hAnsi="Calibri"/>
        </w:rPr>
        <w:t>.  Wniosek powinien zawierać uzasadnienie oraz nr wniosku o dofinansowanie, którego dotyczy. PARP może przedłużyć termin odpowiednio na wniesienie protestu, jego uzupełnienie lub poprawienie w nim oczywistych omyłek, jednak nie dłużej niż o 30 dni. Wynik rozpatrzenia wniosku PARP kieruje na adres poczty elektronicznej, za pośrednictwem którego wniosek został złożony, z zachowaniem ciągłości korespondencji.</w:t>
      </w:r>
    </w:p>
    <w:p w14:paraId="283CAF1B" w14:textId="01049A19" w:rsidR="00BE0C29" w:rsidRPr="0098142E" w:rsidRDefault="00BE0C29" w:rsidP="00146965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 w:rsidRPr="0098142E">
        <w:rPr>
          <w:rFonts w:ascii="Calibri" w:hAnsi="Calibri"/>
        </w:rPr>
        <w:t xml:space="preserve">Protest jest wnoszony w formie pisemnej, przy czym w przypadku, gdy na skutek wystąpienia COVID-19 wniesienie protestu w formie pisemnej jest niemożliwe lub znacznie utrudnione, protest może zostać wniesiony w postaci elektronicznej pozwalającej na jej utrwalenie na trwałym nośniku na adres poczty elektronicznej: </w:t>
      </w:r>
      <w:r w:rsidR="00146965" w:rsidRPr="00146965">
        <w:rPr>
          <w:rFonts w:ascii="Calibri" w:hAnsi="Calibri"/>
        </w:rPr>
        <w:t>konkurs132popw@parp.gov.pl</w:t>
      </w:r>
      <w:bookmarkStart w:id="0" w:name="_GoBack"/>
      <w:bookmarkEnd w:id="0"/>
    </w:p>
    <w:p w14:paraId="3B166697" w14:textId="77777777" w:rsidR="001C5221" w:rsidRDefault="0078441F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Protest jest wnoszony do PARP.</w:t>
      </w:r>
    </w:p>
    <w:p w14:paraId="656A8924" w14:textId="77777777" w:rsidR="001C5221" w:rsidRDefault="0078441F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rozpatruje protest, weryfikując prawidłowość oceny projektu w zakresie kryteriów i zarzutów, o których mowa w art. 54 ust. 2 pkt 4 i 5 ustawy wdrożeniowej, w terminie nie dłuższym niż 21 dni, licząc od dnia otrzymania protestu. W uzasadnionych przypadkach, w szczególności gdy w trakcie rozpatrywania protestu konieczne jest skorzystanie z pomocy ekspertów, termin rozpatrzenia protestu może być przedłużony, o czym PARP informuje na piśmie wnioskodawcę. Termin rozpatrzenia protestu nie może przekroczyć łącznie 45 dni od dnia otrzymania protestu.</w:t>
      </w:r>
    </w:p>
    <w:p w14:paraId="431C258F" w14:textId="77777777" w:rsidR="001C5221" w:rsidRDefault="0078441F">
      <w:pPr>
        <w:numPr>
          <w:ilvl w:val="0"/>
          <w:numId w:val="10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Projekt może otrzymać dofinansowanie w wyniku procedury odwoławczej pod warunkiem, że spełnił kryteria wyboru projektów oraz uzyskał co najmniej tyle </w:t>
      </w:r>
      <w:r>
        <w:rPr>
          <w:rStyle w:val="Brak"/>
          <w:rFonts w:ascii="Calibri" w:hAnsi="Calibri"/>
        </w:rPr>
        <w:lastRenderedPageBreak/>
        <w:t>punktów, ile uzyskał projekt umieszczony na ostatnim miejscu na liście projektów wybranych do dofinansowania</w:t>
      </w:r>
      <w:r>
        <w:rPr>
          <w:rStyle w:val="Brak"/>
          <w:rFonts w:ascii="Calibri" w:hAnsi="Calibri"/>
          <w:i/>
          <w:iCs/>
        </w:rPr>
        <w:t xml:space="preserve"> </w:t>
      </w:r>
      <w:r>
        <w:rPr>
          <w:rStyle w:val="Brak"/>
          <w:rFonts w:ascii="Calibri" w:hAnsi="Calibri"/>
        </w:rPr>
        <w:t>w ramach konkursu z uwzględnieniem kryteriów rozstrzygających oraz pod warunkiem dostępności środków finansowych. Postanowienia §12 stosuje się odpowiednio.</w:t>
      </w:r>
    </w:p>
    <w:p w14:paraId="29D9C5FA" w14:textId="77777777" w:rsidR="001C5221" w:rsidRDefault="0078441F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Protest może zostać wycofany przez wnioskodawcę zgodnie z art. 54a ustawy wdrożeniowej.</w:t>
      </w:r>
    </w:p>
    <w:p w14:paraId="228CD84C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§14. Sposób udzielania wyjaśnień w kwestiach dotyczących konkursu</w:t>
      </w:r>
    </w:p>
    <w:p w14:paraId="1052923C" w14:textId="77777777" w:rsidR="001C5221" w:rsidRDefault="0078441F">
      <w:pPr>
        <w:numPr>
          <w:ilvl w:val="0"/>
          <w:numId w:val="10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Odesłanie do odpowiedzi na pytania dotyczące procedury wyboru projektów oraz składania wniosków o dofinansowanie w ramach poddziałania (FAQ) znajduje się na stronie faq.parp.gov.pl. </w:t>
      </w:r>
    </w:p>
    <w:p w14:paraId="4AC0CB3B" w14:textId="77777777" w:rsidR="001C5221" w:rsidRDefault="0078441F">
      <w:pPr>
        <w:numPr>
          <w:ilvl w:val="0"/>
          <w:numId w:val="10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Ewentualne pytania można przesyłać za pośrednictwem formularza kontaktowego dostępnego na stronie poddziałania.</w:t>
      </w:r>
    </w:p>
    <w:p w14:paraId="6141828E" w14:textId="77777777" w:rsidR="001C5221" w:rsidRDefault="0078441F">
      <w:pPr>
        <w:numPr>
          <w:ilvl w:val="0"/>
          <w:numId w:val="10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Wyjaśnień dotyczących konkursu udziela również Infolinia PARP odpowiadając na zapytania kierowane na adres poczty elektronicznej: </w:t>
      </w:r>
      <w:hyperlink r:id="rId11" w:history="1">
        <w:r>
          <w:rPr>
            <w:rStyle w:val="Hyperlink1"/>
            <w:rFonts w:ascii="Calibri" w:hAnsi="Calibri"/>
          </w:rPr>
          <w:t>info@parp.gov.pl</w:t>
        </w:r>
      </w:hyperlink>
      <w:r>
        <w:rPr>
          <w:rStyle w:val="Hyperlink1"/>
          <w:rFonts w:ascii="Calibri" w:hAnsi="Calibri"/>
        </w:rPr>
        <w:t xml:space="preserve"> oraz telefonicznie pod numerami 22 574 07 07 lub 0 801 332 202.  </w:t>
      </w:r>
    </w:p>
    <w:p w14:paraId="293A5F8C" w14:textId="77777777" w:rsidR="001C5221" w:rsidRDefault="0078441F">
      <w:pPr>
        <w:numPr>
          <w:ilvl w:val="0"/>
          <w:numId w:val="106"/>
        </w:numPr>
        <w:spacing w:after="12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 xml:space="preserve">Odpowiedzi na wszystkie pytania udzielane są indywidualnie. Odpowiedzi polegające na wyjaśnieniu procedur lub ich interpretacji są dodatkowo zamieszczane w FAQ, do których odesłanie znajduje się na stronie poddziałania. </w:t>
      </w:r>
    </w:p>
    <w:p w14:paraId="3F704F28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§15. Postanowienia końcowe</w:t>
      </w:r>
    </w:p>
    <w:p w14:paraId="52998E71" w14:textId="77777777" w:rsidR="001C5221" w:rsidRDefault="0078441F">
      <w:pPr>
        <w:numPr>
          <w:ilvl w:val="0"/>
          <w:numId w:val="10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PARP zastrzega sobie możliwość zmiany regulaminu, z zastrzeżeniem art. 41 ust. 3-4 ustawy wdrożeniowej. </w:t>
      </w:r>
    </w:p>
    <w:p w14:paraId="67FA67E1" w14:textId="77777777" w:rsidR="001C5221" w:rsidRDefault="0078441F">
      <w:pPr>
        <w:numPr>
          <w:ilvl w:val="0"/>
          <w:numId w:val="10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zmiany regulaminu, PARP zamieszcza na stronie poddziałania oraz na portalu informację o jego zmianie, aktualną treść regulaminu, uzasadnienie zmiany oraz termin, od którego stosuje się zmianę. PARP udostępnia na stronie poddziałania oraz na portalu poprzednie wersje regulaminu. PARP niezwłocznie informuje o zmianie regulaminu każdego wnioskodawcę.</w:t>
      </w:r>
    </w:p>
    <w:p w14:paraId="0C7012FC" w14:textId="77777777" w:rsidR="001C5221" w:rsidRDefault="0078441F">
      <w:pPr>
        <w:numPr>
          <w:ilvl w:val="0"/>
          <w:numId w:val="10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PARP zastrzega sobie możliwość anulowania konkursu lub rundy konkursu, w szczególności w przypadku wprowadzenia istotnych zmian w przepisach prawa mających wpływ na warunki przeprowadzenia konkursu lub zaistnienia zdarzeń o charakterze siły wyższej. </w:t>
      </w:r>
    </w:p>
    <w:p w14:paraId="429504C5" w14:textId="77777777"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ZAŁĄCZNIKI:</w:t>
      </w:r>
    </w:p>
    <w:p w14:paraId="69E4CE62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Kryteria wyboru projektów wraz z podaniem ich znaczenia;</w:t>
      </w:r>
    </w:p>
    <w:p w14:paraId="09CE771F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Wzór wniosku o dofinansowanie projektu;</w:t>
      </w:r>
    </w:p>
    <w:p w14:paraId="50BC9ADB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Instrukcja wypełniania wniosku o dofinasowanie projektu (dla MŚP, dla konsorcjum);</w:t>
      </w:r>
    </w:p>
    <w:p w14:paraId="6E8D9F0B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lastRenderedPageBreak/>
        <w:t>Wzory umów o dofinansowanie projektu;</w:t>
      </w:r>
    </w:p>
    <w:p w14:paraId="4A1B60E2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Lista dokumentów niezbędnych do zawarcia umowy o dofinansowanie projektu;</w:t>
      </w:r>
    </w:p>
    <w:p w14:paraId="1760898F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Wspólne obszary inteligentnych specjalizacji województw Polski Wschodniej, styczeń 2018;</w:t>
      </w:r>
    </w:p>
    <w:p w14:paraId="6D89E30D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Minimalny zakres umowy o partnerstwie; </w:t>
      </w:r>
    </w:p>
    <w:p w14:paraId="5DD85B16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Wzór promesy kredytowej;</w:t>
      </w:r>
      <w:r>
        <w:rPr>
          <w:rStyle w:val="Hyperlink1"/>
          <w:rFonts w:ascii="Calibri" w:hAnsi="Calibri"/>
        </w:rPr>
        <w:t xml:space="preserve"> </w:t>
      </w:r>
    </w:p>
    <w:p w14:paraId="502B5473" w14:textId="77777777"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Lista gmin objętych regionami Bieszczad i Mazur;</w:t>
      </w:r>
    </w:p>
    <w:p w14:paraId="2953AA7A" w14:textId="77777777" w:rsidR="001C5221" w:rsidRDefault="0078441F">
      <w:pPr>
        <w:numPr>
          <w:ilvl w:val="0"/>
          <w:numId w:val="110"/>
        </w:numPr>
        <w:spacing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Wzór upoważnienia dla banku do przekazania informacji objętych tajemnicą bankową (w przypadku finansowania projektu kredytem bankowym).</w:t>
      </w:r>
    </w:p>
    <w:sectPr w:rsidR="001C522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276" w:right="1418" w:bottom="1418" w:left="1418" w:header="56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D160A" w14:textId="77777777" w:rsidR="00AD786B" w:rsidRDefault="00AD786B">
      <w:r>
        <w:separator/>
      </w:r>
    </w:p>
  </w:endnote>
  <w:endnote w:type="continuationSeparator" w:id="0">
    <w:p w14:paraId="7D22D43F" w14:textId="77777777" w:rsidR="00AD786B" w:rsidRDefault="00AD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8265" w14:textId="77777777" w:rsidR="001C5221" w:rsidRDefault="001C5221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22DB" w14:textId="77777777" w:rsidR="001C5221" w:rsidRDefault="001C522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ACB79" w14:textId="77777777" w:rsidR="00AD786B" w:rsidRDefault="00AD786B">
      <w:r>
        <w:separator/>
      </w:r>
    </w:p>
  </w:footnote>
  <w:footnote w:type="continuationSeparator" w:id="0">
    <w:p w14:paraId="5FB7CD81" w14:textId="77777777" w:rsidR="00AD786B" w:rsidRDefault="00AD786B">
      <w:r>
        <w:continuationSeparator/>
      </w:r>
    </w:p>
  </w:footnote>
  <w:footnote w:type="continuationNotice" w:id="1">
    <w:p w14:paraId="0D186ABE" w14:textId="77777777" w:rsidR="00AD786B" w:rsidRDefault="00AD786B"/>
  </w:footnote>
  <w:footnote w:id="2">
    <w:p w14:paraId="7F8A4301" w14:textId="77777777" w:rsidR="001C5221" w:rsidRDefault="0078441F">
      <w:pPr>
        <w:pStyle w:val="Tekstprzypisudolnego"/>
        <w:spacing w:line="276" w:lineRule="auto"/>
      </w:pPr>
      <w:r>
        <w:rPr>
          <w:rStyle w:val="Brak"/>
          <w:rFonts w:ascii="Calibri" w:eastAsia="Calibri" w:hAnsi="Calibri" w:cs="Calibri"/>
          <w:vertAlign w:val="superscript"/>
        </w:rPr>
        <w:footnoteRef/>
      </w:r>
      <w:r>
        <w:rPr>
          <w:rStyle w:val="Brak"/>
          <w:rFonts w:ascii="Calibri" w:hAnsi="Calibri"/>
        </w:rPr>
        <w:t xml:space="preserve"> Wartość udzielonego dofinansowania będzie podlegała przeliczeniu według kursu średniego, ogłoszonego przez Narodowy Bank Polski, obowiązujący w dniu udzielenia pomocy.</w:t>
      </w:r>
    </w:p>
  </w:footnote>
  <w:footnote w:id="3">
    <w:p w14:paraId="76397C10" w14:textId="77777777" w:rsidR="001C5221" w:rsidRDefault="0078441F">
      <w:pPr>
        <w:pStyle w:val="Tekstprzypisudolnego"/>
        <w:ind w:left="142" w:hanging="142"/>
      </w:pPr>
      <w:r>
        <w:rPr>
          <w:rStyle w:val="Brak"/>
          <w:rFonts w:ascii="Calibri" w:eastAsia="Calibri" w:hAnsi="Calibri" w:cs="Calibri"/>
          <w:vertAlign w:val="superscript"/>
        </w:rPr>
        <w:footnoteRef/>
      </w:r>
      <w:r>
        <w:rPr>
          <w:rStyle w:val="Brak"/>
          <w:rFonts w:ascii="Calibri" w:hAnsi="Calibri"/>
          <w:vertAlign w:val="superscript"/>
        </w:rPr>
        <w:t xml:space="preserve"> </w:t>
      </w:r>
      <w:r>
        <w:rPr>
          <w:rStyle w:val="Brak"/>
          <w:rFonts w:ascii="Calibri" w:hAnsi="Calibri"/>
        </w:rPr>
        <w:t xml:space="preserve"> Przez „zezwolenie na inwestycję” należy rozumieć ostateczną decyzję budowlaną (pozwolenie na budowę albo decyzja o zezwoleniu na realizację inwestycji), ewentualnie inną decyzję administracyjną kończącą przygotowanie procesu inwestycyjnego (np. decyzję o środowiskowych uwarunkowaniach), jeżeli dla danego przedsięwzięcia przepisy prawa nie przewidują konieczności uzyskania pozwolenia na budowę.</w:t>
      </w:r>
    </w:p>
  </w:footnote>
  <w:footnote w:id="4">
    <w:p w14:paraId="16597803" w14:textId="77777777" w:rsidR="001C5221" w:rsidRDefault="0078441F">
      <w:pPr>
        <w:pStyle w:val="Tekstprzypisudolnego"/>
      </w:pPr>
      <w:r>
        <w:rPr>
          <w:rStyle w:val="Brak"/>
          <w:rFonts w:ascii="Calibri" w:eastAsia="Calibri" w:hAnsi="Calibri" w:cs="Calibri"/>
          <w:vertAlign w:val="superscript"/>
        </w:rPr>
        <w:footnoteRef/>
      </w:r>
      <w:r>
        <w:rPr>
          <w:rStyle w:val="Brak"/>
          <w:rFonts w:ascii="Calibri" w:hAnsi="Calibri"/>
        </w:rPr>
        <w:t xml:space="preserve"> Odpowiednio do rodzaju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319D9" w14:textId="0217DF2F" w:rsidR="001C5221" w:rsidRDefault="0078441F">
    <w:pPr>
      <w:pStyle w:val="Nagwek"/>
      <w:tabs>
        <w:tab w:val="clear" w:pos="9072"/>
        <w:tab w:val="right" w:pos="9044"/>
      </w:tabs>
      <w:jc w:val="righ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146965">
      <w:rPr>
        <w:rFonts w:ascii="Calibri" w:hAnsi="Calibri"/>
        <w:noProof/>
      </w:rPr>
      <w:t>26</w:t>
    </w:r>
    <w:r>
      <w:rPr>
        <w:rFonts w:ascii="Calibri" w:hAnsi="Calibr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E8C2" w14:textId="77777777" w:rsidR="001C5221" w:rsidRDefault="001C522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98"/>
    <w:multiLevelType w:val="hybridMultilevel"/>
    <w:tmpl w:val="EFFE616A"/>
    <w:numStyleLink w:val="Zaimportowanystyl36"/>
  </w:abstractNum>
  <w:abstractNum w:abstractNumId="1" w15:restartNumberingAfterBreak="0">
    <w:nsid w:val="048A4A71"/>
    <w:multiLevelType w:val="hybridMultilevel"/>
    <w:tmpl w:val="FBC443D6"/>
    <w:numStyleLink w:val="Zaimportowanystyl13"/>
  </w:abstractNum>
  <w:abstractNum w:abstractNumId="2" w15:restartNumberingAfterBreak="0">
    <w:nsid w:val="06243933"/>
    <w:multiLevelType w:val="hybridMultilevel"/>
    <w:tmpl w:val="196CCE88"/>
    <w:numStyleLink w:val="Zaimportowanystyl2"/>
  </w:abstractNum>
  <w:abstractNum w:abstractNumId="3" w15:restartNumberingAfterBreak="0">
    <w:nsid w:val="06F10106"/>
    <w:multiLevelType w:val="hybridMultilevel"/>
    <w:tmpl w:val="F328C85A"/>
    <w:styleLink w:val="Zaimportowanystyl10"/>
    <w:lvl w:ilvl="0" w:tplc="ACC820E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4DADC">
      <w:start w:val="1"/>
      <w:numFmt w:val="lowerLetter"/>
      <w:lvlText w:val="%2."/>
      <w:lvlJc w:val="left"/>
      <w:pPr>
        <w:tabs>
          <w:tab w:val="left" w:pos="851"/>
        </w:tabs>
        <w:ind w:left="1416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FC806E">
      <w:start w:val="1"/>
      <w:numFmt w:val="lowerRoman"/>
      <w:lvlText w:val="%3."/>
      <w:lvlJc w:val="left"/>
      <w:pPr>
        <w:tabs>
          <w:tab w:val="left" w:pos="851"/>
          <w:tab w:val="num" w:pos="2255"/>
        </w:tabs>
        <w:ind w:left="2124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1A2458">
      <w:start w:val="1"/>
      <w:numFmt w:val="decimal"/>
      <w:lvlText w:val="%4."/>
      <w:lvlJc w:val="left"/>
      <w:pPr>
        <w:tabs>
          <w:tab w:val="left" w:pos="851"/>
          <w:tab w:val="num" w:pos="2963"/>
        </w:tabs>
        <w:ind w:left="2832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5657A0">
      <w:start w:val="1"/>
      <w:numFmt w:val="lowerLetter"/>
      <w:lvlText w:val="%5."/>
      <w:lvlJc w:val="left"/>
      <w:pPr>
        <w:tabs>
          <w:tab w:val="left" w:pos="851"/>
          <w:tab w:val="num" w:pos="3671"/>
        </w:tabs>
        <w:ind w:left="3540" w:hanging="1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2481F2">
      <w:start w:val="1"/>
      <w:numFmt w:val="lowerRoman"/>
      <w:lvlText w:val="%6."/>
      <w:lvlJc w:val="left"/>
      <w:pPr>
        <w:tabs>
          <w:tab w:val="left" w:pos="851"/>
          <w:tab w:val="num" w:pos="4379"/>
        </w:tabs>
        <w:ind w:left="4248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ED914">
      <w:start w:val="1"/>
      <w:numFmt w:val="decimal"/>
      <w:lvlText w:val="%7."/>
      <w:lvlJc w:val="left"/>
      <w:pPr>
        <w:tabs>
          <w:tab w:val="left" w:pos="851"/>
          <w:tab w:val="num" w:pos="5087"/>
        </w:tabs>
        <w:ind w:left="4956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2826BA">
      <w:start w:val="1"/>
      <w:numFmt w:val="lowerLetter"/>
      <w:lvlText w:val="%8."/>
      <w:lvlJc w:val="left"/>
      <w:pPr>
        <w:tabs>
          <w:tab w:val="left" w:pos="851"/>
          <w:tab w:val="num" w:pos="5795"/>
        </w:tabs>
        <w:ind w:left="5664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0FACE">
      <w:start w:val="1"/>
      <w:numFmt w:val="lowerRoman"/>
      <w:lvlText w:val="%9."/>
      <w:lvlJc w:val="left"/>
      <w:pPr>
        <w:tabs>
          <w:tab w:val="left" w:pos="851"/>
          <w:tab w:val="num" w:pos="6503"/>
        </w:tabs>
        <w:ind w:left="6372" w:hanging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382C5D"/>
    <w:multiLevelType w:val="hybridMultilevel"/>
    <w:tmpl w:val="CC042A58"/>
    <w:numStyleLink w:val="Zaimportowanystyl39"/>
  </w:abstractNum>
  <w:abstractNum w:abstractNumId="5" w15:restartNumberingAfterBreak="0">
    <w:nsid w:val="08C77B67"/>
    <w:multiLevelType w:val="hybridMultilevel"/>
    <w:tmpl w:val="FBC443D6"/>
    <w:styleLink w:val="Zaimportowanystyl13"/>
    <w:lvl w:ilvl="0" w:tplc="DB42FDF6">
      <w:start w:val="1"/>
      <w:numFmt w:val="lowerLetter"/>
      <w:lvlText w:val="%1)"/>
      <w:lvlJc w:val="left"/>
      <w:pPr>
        <w:ind w:left="14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70F958">
      <w:start w:val="1"/>
      <w:numFmt w:val="lowerLetter"/>
      <w:lvlText w:val="%2."/>
      <w:lvlJc w:val="left"/>
      <w:pPr>
        <w:ind w:left="178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5E098E">
      <w:start w:val="1"/>
      <w:numFmt w:val="lowerRoman"/>
      <w:lvlText w:val="%3."/>
      <w:lvlJc w:val="left"/>
      <w:pPr>
        <w:ind w:left="2500" w:hanging="3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58615E">
      <w:start w:val="1"/>
      <w:numFmt w:val="decimal"/>
      <w:lvlText w:val="%4."/>
      <w:lvlJc w:val="left"/>
      <w:pPr>
        <w:ind w:left="322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76CDAE">
      <w:start w:val="1"/>
      <w:numFmt w:val="lowerLetter"/>
      <w:lvlText w:val="%5."/>
      <w:lvlJc w:val="left"/>
      <w:pPr>
        <w:ind w:left="394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10C0CA">
      <w:start w:val="1"/>
      <w:numFmt w:val="lowerRoman"/>
      <w:lvlText w:val="%6."/>
      <w:lvlJc w:val="left"/>
      <w:pPr>
        <w:ind w:left="4660" w:hanging="3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9674AC">
      <w:start w:val="1"/>
      <w:numFmt w:val="decimal"/>
      <w:lvlText w:val="%7."/>
      <w:lvlJc w:val="left"/>
      <w:pPr>
        <w:ind w:left="538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C4BE50">
      <w:start w:val="1"/>
      <w:numFmt w:val="lowerLetter"/>
      <w:lvlText w:val="%8."/>
      <w:lvlJc w:val="left"/>
      <w:pPr>
        <w:ind w:left="610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EA8874">
      <w:start w:val="1"/>
      <w:numFmt w:val="lowerRoman"/>
      <w:lvlText w:val="%9."/>
      <w:lvlJc w:val="left"/>
      <w:pPr>
        <w:ind w:left="6820" w:hanging="3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144C79"/>
    <w:multiLevelType w:val="hybridMultilevel"/>
    <w:tmpl w:val="E452D1AA"/>
    <w:styleLink w:val="Zaimportowanystyl34"/>
    <w:lvl w:ilvl="0" w:tplc="F1365108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82FF9E">
      <w:start w:val="1"/>
      <w:numFmt w:val="lowerLetter"/>
      <w:lvlText w:val="%2."/>
      <w:lvlJc w:val="left"/>
      <w:pPr>
        <w:ind w:left="12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C937C">
      <w:start w:val="1"/>
      <w:numFmt w:val="lowerRoman"/>
      <w:lvlText w:val="%3."/>
      <w:lvlJc w:val="left"/>
      <w:pPr>
        <w:ind w:left="1942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D8A15C">
      <w:start w:val="1"/>
      <w:numFmt w:val="decimal"/>
      <w:lvlText w:val="%4."/>
      <w:lvlJc w:val="left"/>
      <w:pPr>
        <w:ind w:left="266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06412E">
      <w:start w:val="1"/>
      <w:numFmt w:val="lowerLetter"/>
      <w:lvlText w:val="%5."/>
      <w:lvlJc w:val="left"/>
      <w:pPr>
        <w:ind w:left="338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7D0">
      <w:start w:val="1"/>
      <w:numFmt w:val="lowerRoman"/>
      <w:lvlText w:val="%6."/>
      <w:lvlJc w:val="left"/>
      <w:pPr>
        <w:ind w:left="4102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81700">
      <w:start w:val="1"/>
      <w:numFmt w:val="decimal"/>
      <w:lvlText w:val="%7."/>
      <w:lvlJc w:val="left"/>
      <w:pPr>
        <w:ind w:left="48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E7D18">
      <w:start w:val="1"/>
      <w:numFmt w:val="lowerLetter"/>
      <w:lvlText w:val="%8."/>
      <w:lvlJc w:val="left"/>
      <w:pPr>
        <w:ind w:left="554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BA8410">
      <w:start w:val="1"/>
      <w:numFmt w:val="lowerRoman"/>
      <w:lvlText w:val="%9."/>
      <w:lvlJc w:val="left"/>
      <w:pPr>
        <w:ind w:left="6262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11D457D"/>
    <w:multiLevelType w:val="hybridMultilevel"/>
    <w:tmpl w:val="40D4559A"/>
    <w:numStyleLink w:val="Zaimportowanystyl26"/>
  </w:abstractNum>
  <w:abstractNum w:abstractNumId="8" w15:restartNumberingAfterBreak="0">
    <w:nsid w:val="159D52BD"/>
    <w:multiLevelType w:val="hybridMultilevel"/>
    <w:tmpl w:val="3614250A"/>
    <w:numStyleLink w:val="Zaimportowanystyl8"/>
  </w:abstractNum>
  <w:abstractNum w:abstractNumId="9" w15:restartNumberingAfterBreak="0">
    <w:nsid w:val="15A35579"/>
    <w:multiLevelType w:val="hybridMultilevel"/>
    <w:tmpl w:val="B9EAC458"/>
    <w:styleLink w:val="Zaimportowanystyl24"/>
    <w:lvl w:ilvl="0" w:tplc="092E8A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266F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6ADC22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CFA3C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387C4A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26A6A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0EDCE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0C6D22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E0F676">
      <w:start w:val="1"/>
      <w:numFmt w:val="lowerRoman"/>
      <w:lvlText w:val="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DB1F26"/>
    <w:multiLevelType w:val="hybridMultilevel"/>
    <w:tmpl w:val="4F944212"/>
    <w:numStyleLink w:val="Zaimportowanystyl19"/>
  </w:abstractNum>
  <w:abstractNum w:abstractNumId="11" w15:restartNumberingAfterBreak="0">
    <w:nsid w:val="16BE1F3F"/>
    <w:multiLevelType w:val="hybridMultilevel"/>
    <w:tmpl w:val="470AB24C"/>
    <w:numStyleLink w:val="Zaimportowanystyl28"/>
  </w:abstractNum>
  <w:abstractNum w:abstractNumId="12" w15:restartNumberingAfterBreak="0">
    <w:nsid w:val="16F84A33"/>
    <w:multiLevelType w:val="hybridMultilevel"/>
    <w:tmpl w:val="C11E44E2"/>
    <w:numStyleLink w:val="Zaimportowanystyl21"/>
  </w:abstractNum>
  <w:abstractNum w:abstractNumId="13" w15:restartNumberingAfterBreak="0">
    <w:nsid w:val="1A974BD2"/>
    <w:multiLevelType w:val="hybridMultilevel"/>
    <w:tmpl w:val="15C2F94C"/>
    <w:numStyleLink w:val="Zaimportowanystyl15"/>
  </w:abstractNum>
  <w:abstractNum w:abstractNumId="14" w15:restartNumberingAfterBreak="0">
    <w:nsid w:val="1B8A41B4"/>
    <w:multiLevelType w:val="hybridMultilevel"/>
    <w:tmpl w:val="D3FACDDA"/>
    <w:styleLink w:val="Zaimportowanystyl4"/>
    <w:lvl w:ilvl="0" w:tplc="D5F0E27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66DB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4E252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670C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28215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BA584C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88890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AA3E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58A0BA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EC6298"/>
    <w:multiLevelType w:val="hybridMultilevel"/>
    <w:tmpl w:val="7C36819A"/>
    <w:styleLink w:val="Zaimportowanystyl37"/>
    <w:lvl w:ilvl="0" w:tplc="8A0C88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A0F5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9055E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BCAB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00519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C6B5CA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946F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FA0AE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AF944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CD55250"/>
    <w:multiLevelType w:val="hybridMultilevel"/>
    <w:tmpl w:val="15C2F94C"/>
    <w:styleLink w:val="Zaimportowanystyl15"/>
    <w:lvl w:ilvl="0" w:tplc="79E2690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48C74">
      <w:start w:val="1"/>
      <w:numFmt w:val="decimal"/>
      <w:lvlText w:val="%2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92E368">
      <w:start w:val="1"/>
      <w:numFmt w:val="decimal"/>
      <w:lvlText w:val="%3)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833B0">
      <w:start w:val="1"/>
      <w:numFmt w:val="decimal"/>
      <w:lvlText w:val="%4."/>
      <w:lvlJc w:val="left"/>
      <w:pPr>
        <w:ind w:left="2125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68E2D4">
      <w:start w:val="1"/>
      <w:numFmt w:val="lowerLetter"/>
      <w:lvlText w:val="%5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E07C76">
      <w:start w:val="1"/>
      <w:numFmt w:val="lowerRoman"/>
      <w:lvlText w:val="%6."/>
      <w:lvlJc w:val="left"/>
      <w:pPr>
        <w:ind w:left="3541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614A4">
      <w:start w:val="1"/>
      <w:numFmt w:val="decimal"/>
      <w:lvlText w:val="%7."/>
      <w:lvlJc w:val="left"/>
      <w:pPr>
        <w:ind w:left="424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D2D2A2">
      <w:start w:val="1"/>
      <w:numFmt w:val="lowerLetter"/>
      <w:lvlText w:val="%8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305F2C">
      <w:start w:val="1"/>
      <w:numFmt w:val="lowerRoman"/>
      <w:lvlText w:val="%9."/>
      <w:lvlJc w:val="left"/>
      <w:pPr>
        <w:ind w:left="5665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D7B404C"/>
    <w:multiLevelType w:val="hybridMultilevel"/>
    <w:tmpl w:val="D2DAA28A"/>
    <w:styleLink w:val="Zaimportowanystyl22"/>
    <w:lvl w:ilvl="0" w:tplc="F684B0D6">
      <w:start w:val="1"/>
      <w:numFmt w:val="decimal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1EE312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4904E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EEC3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FAC314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86BE42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2C5A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8AACC8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C3708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AB730C"/>
    <w:multiLevelType w:val="hybridMultilevel"/>
    <w:tmpl w:val="C5B093C4"/>
    <w:numStyleLink w:val="Zaimportowanystyl18"/>
  </w:abstractNum>
  <w:abstractNum w:abstractNumId="19" w15:restartNumberingAfterBreak="0">
    <w:nsid w:val="1DD53C37"/>
    <w:multiLevelType w:val="hybridMultilevel"/>
    <w:tmpl w:val="A52E4768"/>
    <w:styleLink w:val="Zaimportowanystyl7"/>
    <w:lvl w:ilvl="0" w:tplc="B2CA9F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E21E3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CA3DA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44E4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2C320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0E35E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0E14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766ED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1CDE28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E84681D"/>
    <w:multiLevelType w:val="hybridMultilevel"/>
    <w:tmpl w:val="C46C19B4"/>
    <w:styleLink w:val="Zaimportowanystyl20"/>
    <w:lvl w:ilvl="0" w:tplc="846EDD54">
      <w:start w:val="1"/>
      <w:numFmt w:val="decimal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2E044A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AAE1D0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A7CE8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8C5E36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646FE6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8971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AE71F6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4E817E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01C7A1E"/>
    <w:multiLevelType w:val="hybridMultilevel"/>
    <w:tmpl w:val="312265DC"/>
    <w:styleLink w:val="Zaimportowanystyl11"/>
    <w:lvl w:ilvl="0" w:tplc="0EA65F32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723CF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6E3D2">
      <w:start w:val="1"/>
      <w:numFmt w:val="lowerRoman"/>
      <w:lvlText w:val="%3."/>
      <w:lvlJc w:val="left"/>
      <w:pPr>
        <w:ind w:left="252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8C6950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C4B72A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AB276">
      <w:start w:val="1"/>
      <w:numFmt w:val="lowerRoman"/>
      <w:lvlText w:val="%6."/>
      <w:lvlJc w:val="left"/>
      <w:pPr>
        <w:ind w:left="468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096B0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2ADA4A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86316E">
      <w:start w:val="1"/>
      <w:numFmt w:val="lowerRoman"/>
      <w:lvlText w:val="%9."/>
      <w:lvlJc w:val="left"/>
      <w:pPr>
        <w:ind w:left="684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55D14F0"/>
    <w:multiLevelType w:val="hybridMultilevel"/>
    <w:tmpl w:val="C3DC88A8"/>
    <w:styleLink w:val="Zaimportowanystyl33"/>
    <w:lvl w:ilvl="0" w:tplc="047EBDE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F8970C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AAFC48">
      <w:start w:val="1"/>
      <w:numFmt w:val="lowerRoman"/>
      <w:lvlText w:val="%3."/>
      <w:lvlJc w:val="left"/>
      <w:pPr>
        <w:ind w:left="1942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449DD4">
      <w:start w:val="1"/>
      <w:numFmt w:val="decimal"/>
      <w:lvlText w:val="%4."/>
      <w:lvlJc w:val="left"/>
      <w:pPr>
        <w:ind w:left="26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01050">
      <w:start w:val="1"/>
      <w:numFmt w:val="lowerLetter"/>
      <w:lvlText w:val="%5."/>
      <w:lvlJc w:val="left"/>
      <w:pPr>
        <w:ind w:left="33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808436">
      <w:start w:val="1"/>
      <w:numFmt w:val="lowerRoman"/>
      <w:lvlText w:val="%6."/>
      <w:lvlJc w:val="left"/>
      <w:pPr>
        <w:ind w:left="4102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85EF0">
      <w:start w:val="1"/>
      <w:numFmt w:val="decimal"/>
      <w:lvlText w:val="%7."/>
      <w:lvlJc w:val="left"/>
      <w:pPr>
        <w:ind w:left="48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A216DE">
      <w:start w:val="1"/>
      <w:numFmt w:val="lowerLetter"/>
      <w:lvlText w:val="%8."/>
      <w:lvlJc w:val="left"/>
      <w:pPr>
        <w:ind w:left="554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904F70">
      <w:start w:val="1"/>
      <w:numFmt w:val="lowerRoman"/>
      <w:lvlText w:val="%9."/>
      <w:lvlJc w:val="left"/>
      <w:pPr>
        <w:ind w:left="6262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55F7610"/>
    <w:multiLevelType w:val="hybridMultilevel"/>
    <w:tmpl w:val="470AB24C"/>
    <w:styleLink w:val="Zaimportowanystyl28"/>
    <w:lvl w:ilvl="0" w:tplc="AAA618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8C82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43BC6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06EAAA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184EE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883C42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CA62C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6728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C8BB74">
      <w:start w:val="1"/>
      <w:numFmt w:val="lowerRoman"/>
      <w:lvlText w:val="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9622E4"/>
    <w:multiLevelType w:val="hybridMultilevel"/>
    <w:tmpl w:val="E0BC3FF0"/>
    <w:numStyleLink w:val="Zaimportowanystyl14"/>
  </w:abstractNum>
  <w:abstractNum w:abstractNumId="25" w15:restartNumberingAfterBreak="0">
    <w:nsid w:val="25B53DD1"/>
    <w:multiLevelType w:val="hybridMultilevel"/>
    <w:tmpl w:val="F328C85A"/>
    <w:numStyleLink w:val="Zaimportowanystyl10"/>
  </w:abstractNum>
  <w:abstractNum w:abstractNumId="26" w15:restartNumberingAfterBreak="0">
    <w:nsid w:val="297A6269"/>
    <w:multiLevelType w:val="hybridMultilevel"/>
    <w:tmpl w:val="01789288"/>
    <w:numStyleLink w:val="Zaimportowanystyl3"/>
  </w:abstractNum>
  <w:abstractNum w:abstractNumId="27" w15:restartNumberingAfterBreak="0">
    <w:nsid w:val="2A7F7340"/>
    <w:multiLevelType w:val="hybridMultilevel"/>
    <w:tmpl w:val="4F944212"/>
    <w:styleLink w:val="Zaimportowanystyl19"/>
    <w:lvl w:ilvl="0" w:tplc="FB42C05C">
      <w:start w:val="1"/>
      <w:numFmt w:val="decimal"/>
      <w:lvlText w:val="%1)"/>
      <w:lvlJc w:val="left"/>
      <w:pPr>
        <w:ind w:left="71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10BC08">
      <w:start w:val="1"/>
      <w:numFmt w:val="decimal"/>
      <w:lvlText w:val="%2)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29CCC">
      <w:start w:val="1"/>
      <w:numFmt w:val="lowerLetter"/>
      <w:lvlText w:val="%3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E0B78C">
      <w:start w:val="1"/>
      <w:numFmt w:val="decimal"/>
      <w:lvlText w:val="%4."/>
      <w:lvlJc w:val="left"/>
      <w:pPr>
        <w:ind w:left="2126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07240">
      <w:start w:val="1"/>
      <w:numFmt w:val="lowerLetter"/>
      <w:lvlText w:val="%5."/>
      <w:lvlJc w:val="left"/>
      <w:pPr>
        <w:ind w:left="2834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0AA7C">
      <w:start w:val="1"/>
      <w:numFmt w:val="lowerRoman"/>
      <w:lvlText w:val="%6."/>
      <w:lvlJc w:val="left"/>
      <w:pPr>
        <w:ind w:left="3542" w:hanging="5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CAE4F8">
      <w:start w:val="1"/>
      <w:numFmt w:val="decimal"/>
      <w:lvlText w:val="%7."/>
      <w:lvlJc w:val="left"/>
      <w:pPr>
        <w:ind w:left="4250" w:hanging="5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D204D8">
      <w:start w:val="1"/>
      <w:numFmt w:val="lowerLetter"/>
      <w:lvlText w:val="%8."/>
      <w:lvlJc w:val="left"/>
      <w:pPr>
        <w:ind w:left="4958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CC37C8">
      <w:start w:val="1"/>
      <w:numFmt w:val="lowerRoman"/>
      <w:lvlText w:val="%9."/>
      <w:lvlJc w:val="left"/>
      <w:pPr>
        <w:ind w:left="5666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AC169B2"/>
    <w:multiLevelType w:val="hybridMultilevel"/>
    <w:tmpl w:val="3614250A"/>
    <w:styleLink w:val="Zaimportowanystyl8"/>
    <w:lvl w:ilvl="0" w:tplc="6F64C2AC">
      <w:start w:val="1"/>
      <w:numFmt w:val="decimal"/>
      <w:lvlText w:val="%1)"/>
      <w:lvlJc w:val="left"/>
      <w:pPr>
        <w:tabs>
          <w:tab w:val="num" w:pos="708"/>
        </w:tabs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AA1766">
      <w:start w:val="1"/>
      <w:numFmt w:val="lowerLetter"/>
      <w:lvlText w:val="%2."/>
      <w:lvlJc w:val="left"/>
      <w:pPr>
        <w:tabs>
          <w:tab w:val="num" w:pos="1416"/>
        </w:tabs>
        <w:ind w:left="1493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E97E6">
      <w:start w:val="1"/>
      <w:numFmt w:val="lowerRoman"/>
      <w:lvlText w:val="%3."/>
      <w:lvlJc w:val="left"/>
      <w:pPr>
        <w:tabs>
          <w:tab w:val="num" w:pos="2124"/>
        </w:tabs>
        <w:ind w:left="220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46F48">
      <w:start w:val="1"/>
      <w:numFmt w:val="decimal"/>
      <w:lvlText w:val="%4."/>
      <w:lvlJc w:val="left"/>
      <w:pPr>
        <w:tabs>
          <w:tab w:val="num" w:pos="2832"/>
        </w:tabs>
        <w:ind w:left="290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1E7FCC">
      <w:start w:val="1"/>
      <w:numFmt w:val="lowerLetter"/>
      <w:lvlText w:val="%5."/>
      <w:lvlJc w:val="left"/>
      <w:pPr>
        <w:tabs>
          <w:tab w:val="num" w:pos="3540"/>
        </w:tabs>
        <w:ind w:left="3617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8C00">
      <w:start w:val="1"/>
      <w:numFmt w:val="lowerRoman"/>
      <w:suff w:val="nothing"/>
      <w:lvlText w:val="%6."/>
      <w:lvlJc w:val="left"/>
      <w:pPr>
        <w:ind w:left="4325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3A02B4">
      <w:start w:val="1"/>
      <w:numFmt w:val="decimal"/>
      <w:lvlText w:val="%7."/>
      <w:lvlJc w:val="left"/>
      <w:pPr>
        <w:tabs>
          <w:tab w:val="num" w:pos="4956"/>
        </w:tabs>
        <w:ind w:left="5033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144E22">
      <w:start w:val="1"/>
      <w:numFmt w:val="lowerLetter"/>
      <w:lvlText w:val="%8."/>
      <w:lvlJc w:val="left"/>
      <w:pPr>
        <w:tabs>
          <w:tab w:val="num" w:pos="5664"/>
        </w:tabs>
        <w:ind w:left="5741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660A76">
      <w:start w:val="1"/>
      <w:numFmt w:val="lowerRoman"/>
      <w:suff w:val="nothing"/>
      <w:lvlText w:val="%9."/>
      <w:lvlJc w:val="left"/>
      <w:pPr>
        <w:ind w:left="6449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BA647D1"/>
    <w:multiLevelType w:val="hybridMultilevel"/>
    <w:tmpl w:val="1F8CADEA"/>
    <w:numStyleLink w:val="Zaimportowanystyl30"/>
  </w:abstractNum>
  <w:abstractNum w:abstractNumId="30" w15:restartNumberingAfterBreak="0">
    <w:nsid w:val="2D4038B7"/>
    <w:multiLevelType w:val="hybridMultilevel"/>
    <w:tmpl w:val="26840E58"/>
    <w:styleLink w:val="Zaimportowanystyl29"/>
    <w:lvl w:ilvl="0" w:tplc="8504744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6B35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146754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404C8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8602B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6FEDE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0629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6FF8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AAFD98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EB229A4"/>
    <w:multiLevelType w:val="hybridMultilevel"/>
    <w:tmpl w:val="40D4559A"/>
    <w:styleLink w:val="Zaimportowanystyl26"/>
    <w:lvl w:ilvl="0" w:tplc="7E3A1FAC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6DFD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68440A">
      <w:start w:val="1"/>
      <w:numFmt w:val="lowerRoman"/>
      <w:lvlText w:val="%3."/>
      <w:lvlJc w:val="left"/>
      <w:pPr>
        <w:ind w:left="1942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9C02F4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CC21C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4D3B4">
      <w:start w:val="1"/>
      <w:numFmt w:val="lowerRoman"/>
      <w:lvlText w:val="%6."/>
      <w:lvlJc w:val="left"/>
      <w:pPr>
        <w:ind w:left="4102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AEB16A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46B60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AED6DC">
      <w:start w:val="1"/>
      <w:numFmt w:val="lowerRoman"/>
      <w:lvlText w:val="%9."/>
      <w:lvlJc w:val="left"/>
      <w:pPr>
        <w:ind w:left="6262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EE677D2"/>
    <w:multiLevelType w:val="hybridMultilevel"/>
    <w:tmpl w:val="E7E26DBA"/>
    <w:styleLink w:val="Zaimportowanystyl25"/>
    <w:lvl w:ilvl="0" w:tplc="D0E0C5C8">
      <w:start w:val="1"/>
      <w:numFmt w:val="decimal"/>
      <w:lvlText w:val="%1."/>
      <w:lvlJc w:val="left"/>
      <w:pPr>
        <w:ind w:left="36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4C0C2">
      <w:start w:val="1"/>
      <w:numFmt w:val="decimal"/>
      <w:lvlText w:val="%2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40F460">
      <w:start w:val="1"/>
      <w:numFmt w:val="lowerRoman"/>
      <w:lvlText w:val="%3."/>
      <w:lvlJc w:val="left"/>
      <w:pPr>
        <w:ind w:left="1417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6411E">
      <w:start w:val="1"/>
      <w:numFmt w:val="decimal"/>
      <w:lvlText w:val="%4."/>
      <w:lvlJc w:val="left"/>
      <w:pPr>
        <w:ind w:left="2125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42A58">
      <w:start w:val="1"/>
      <w:numFmt w:val="lowerLetter"/>
      <w:lvlText w:val="%5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4A7486">
      <w:start w:val="1"/>
      <w:numFmt w:val="lowerRoman"/>
      <w:lvlText w:val="%6."/>
      <w:lvlJc w:val="left"/>
      <w:pPr>
        <w:ind w:left="3541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E157A">
      <w:start w:val="1"/>
      <w:numFmt w:val="decimal"/>
      <w:lvlText w:val="%7."/>
      <w:lvlJc w:val="left"/>
      <w:pPr>
        <w:ind w:left="424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9ED9AE">
      <w:start w:val="1"/>
      <w:numFmt w:val="lowerLetter"/>
      <w:lvlText w:val="%8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68CC4C">
      <w:start w:val="1"/>
      <w:numFmt w:val="lowerRoman"/>
      <w:lvlText w:val="%9."/>
      <w:lvlJc w:val="left"/>
      <w:pPr>
        <w:ind w:left="5665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0C35948"/>
    <w:multiLevelType w:val="hybridMultilevel"/>
    <w:tmpl w:val="5D3E6DB4"/>
    <w:numStyleLink w:val="Zaimportowanystyl17"/>
  </w:abstractNum>
  <w:abstractNum w:abstractNumId="34" w15:restartNumberingAfterBreak="0">
    <w:nsid w:val="32A50FD0"/>
    <w:multiLevelType w:val="hybridMultilevel"/>
    <w:tmpl w:val="312265DC"/>
    <w:numStyleLink w:val="Zaimportowanystyl11"/>
  </w:abstractNum>
  <w:abstractNum w:abstractNumId="35" w15:restartNumberingAfterBreak="0">
    <w:nsid w:val="33243422"/>
    <w:multiLevelType w:val="hybridMultilevel"/>
    <w:tmpl w:val="97563CC8"/>
    <w:styleLink w:val="Zaimportowanystyl5"/>
    <w:lvl w:ilvl="0" w:tplc="5434C224">
      <w:start w:val="1"/>
      <w:numFmt w:val="decimal"/>
      <w:lvlText w:val="%1)"/>
      <w:lvlJc w:val="left"/>
      <w:pPr>
        <w:tabs>
          <w:tab w:val="num" w:pos="70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06C338">
      <w:start w:val="1"/>
      <w:numFmt w:val="lowerLetter"/>
      <w:lvlText w:val="%2."/>
      <w:lvlJc w:val="left"/>
      <w:pPr>
        <w:tabs>
          <w:tab w:val="num" w:pos="1416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60B078">
      <w:start w:val="1"/>
      <w:numFmt w:val="lowerRoman"/>
      <w:lvlText w:val="%3."/>
      <w:lvlJc w:val="left"/>
      <w:pPr>
        <w:tabs>
          <w:tab w:val="num" w:pos="2124"/>
        </w:tabs>
        <w:ind w:left="213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426294">
      <w:start w:val="1"/>
      <w:numFmt w:val="decimal"/>
      <w:lvlText w:val="%4."/>
      <w:lvlJc w:val="left"/>
      <w:pPr>
        <w:tabs>
          <w:tab w:val="num" w:pos="2832"/>
        </w:tabs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26B12">
      <w:start w:val="1"/>
      <w:numFmt w:val="lowerLetter"/>
      <w:lvlText w:val="%5."/>
      <w:lvlJc w:val="left"/>
      <w:pPr>
        <w:tabs>
          <w:tab w:val="num" w:pos="3540"/>
        </w:tabs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3CFA4E">
      <w:start w:val="1"/>
      <w:numFmt w:val="lowerRoman"/>
      <w:lvlText w:val="%6."/>
      <w:lvlJc w:val="left"/>
      <w:pPr>
        <w:tabs>
          <w:tab w:val="num" w:pos="4248"/>
        </w:tabs>
        <w:ind w:left="426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989656">
      <w:start w:val="1"/>
      <w:numFmt w:val="decimal"/>
      <w:lvlText w:val="%7."/>
      <w:lvlJc w:val="left"/>
      <w:pPr>
        <w:tabs>
          <w:tab w:val="num" w:pos="4956"/>
        </w:tabs>
        <w:ind w:left="49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14F520">
      <w:start w:val="1"/>
      <w:numFmt w:val="lowerLetter"/>
      <w:lvlText w:val="%8."/>
      <w:lvlJc w:val="left"/>
      <w:pPr>
        <w:tabs>
          <w:tab w:val="num" w:pos="5664"/>
        </w:tabs>
        <w:ind w:left="56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66562">
      <w:start w:val="1"/>
      <w:numFmt w:val="lowerRoman"/>
      <w:lvlText w:val="%9."/>
      <w:lvlJc w:val="left"/>
      <w:pPr>
        <w:tabs>
          <w:tab w:val="num" w:pos="6372"/>
        </w:tabs>
        <w:ind w:left="638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5F240EE"/>
    <w:multiLevelType w:val="hybridMultilevel"/>
    <w:tmpl w:val="5636C50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 w15:restartNumberingAfterBreak="0">
    <w:nsid w:val="36744893"/>
    <w:multiLevelType w:val="hybridMultilevel"/>
    <w:tmpl w:val="C5B093C4"/>
    <w:styleLink w:val="Zaimportowanystyl18"/>
    <w:lvl w:ilvl="0" w:tplc="7360CA06">
      <w:start w:val="1"/>
      <w:numFmt w:val="bullet"/>
      <w:lvlText w:val="-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B0A524">
      <w:start w:val="1"/>
      <w:numFmt w:val="bullet"/>
      <w:lvlText w:val="-"/>
      <w:lvlJc w:val="left"/>
      <w:pPr>
        <w:ind w:left="11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FE51FC">
      <w:start w:val="1"/>
      <w:numFmt w:val="bullet"/>
      <w:lvlText w:val="-"/>
      <w:lvlJc w:val="left"/>
      <w:pPr>
        <w:ind w:left="19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EEE6">
      <w:start w:val="1"/>
      <w:numFmt w:val="bullet"/>
      <w:lvlText w:val="-"/>
      <w:lvlJc w:val="left"/>
      <w:pPr>
        <w:ind w:left="184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890">
      <w:start w:val="1"/>
      <w:numFmt w:val="bullet"/>
      <w:lvlText w:val="-"/>
      <w:lvlJc w:val="left"/>
      <w:pPr>
        <w:ind w:left="2316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AC23E">
      <w:start w:val="1"/>
      <w:numFmt w:val="bullet"/>
      <w:lvlText w:val="-"/>
      <w:lvlJc w:val="left"/>
      <w:pPr>
        <w:ind w:left="2788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E24D2">
      <w:start w:val="1"/>
      <w:numFmt w:val="bullet"/>
      <w:lvlText w:val="-"/>
      <w:lvlJc w:val="left"/>
      <w:pPr>
        <w:ind w:left="326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7E335C">
      <w:start w:val="1"/>
      <w:numFmt w:val="bullet"/>
      <w:lvlText w:val="-"/>
      <w:lvlJc w:val="left"/>
      <w:pPr>
        <w:ind w:left="3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A709A">
      <w:start w:val="1"/>
      <w:numFmt w:val="bullet"/>
      <w:lvlText w:val="-"/>
      <w:lvlJc w:val="left"/>
      <w:pPr>
        <w:ind w:left="4206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6B4431C"/>
    <w:multiLevelType w:val="hybridMultilevel"/>
    <w:tmpl w:val="76120AE0"/>
    <w:styleLink w:val="Zaimportowanystyl6"/>
    <w:lvl w:ilvl="0" w:tplc="91001D12">
      <w:start w:val="1"/>
      <w:numFmt w:val="lowerLetter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014F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F86294">
      <w:start w:val="1"/>
      <w:numFmt w:val="lowerRoman"/>
      <w:lvlText w:val="%3."/>
      <w:lvlJc w:val="left"/>
      <w:pPr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1CF7CE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502886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145C24">
      <w:start w:val="1"/>
      <w:numFmt w:val="lowerRoman"/>
      <w:lvlText w:val="%6."/>
      <w:lvlJc w:val="left"/>
      <w:pPr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6021D8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4A3B30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1E3354">
      <w:start w:val="1"/>
      <w:numFmt w:val="lowerRoman"/>
      <w:lvlText w:val="%9."/>
      <w:lvlJc w:val="left"/>
      <w:pPr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7F60B2A"/>
    <w:multiLevelType w:val="hybridMultilevel"/>
    <w:tmpl w:val="C46C19B4"/>
    <w:numStyleLink w:val="Zaimportowanystyl20"/>
  </w:abstractNum>
  <w:abstractNum w:abstractNumId="40" w15:restartNumberingAfterBreak="0">
    <w:nsid w:val="385F5C0B"/>
    <w:multiLevelType w:val="hybridMultilevel"/>
    <w:tmpl w:val="FA38C5AE"/>
    <w:numStyleLink w:val="Zaimportowanystyl38"/>
  </w:abstractNum>
  <w:abstractNum w:abstractNumId="41" w15:restartNumberingAfterBreak="0">
    <w:nsid w:val="39943447"/>
    <w:multiLevelType w:val="hybridMultilevel"/>
    <w:tmpl w:val="8050F8D0"/>
    <w:numStyleLink w:val="Zaimportowanystyl27"/>
  </w:abstractNum>
  <w:abstractNum w:abstractNumId="42" w15:restartNumberingAfterBreak="0">
    <w:nsid w:val="3B4C0965"/>
    <w:multiLevelType w:val="hybridMultilevel"/>
    <w:tmpl w:val="196CCE88"/>
    <w:styleLink w:val="Zaimportowanystyl2"/>
    <w:lvl w:ilvl="0" w:tplc="C22EDA5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7C2DD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C82E6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B41C5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E4F7E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CE368E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ABC7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C4BEA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064EE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BE03F54"/>
    <w:multiLevelType w:val="hybridMultilevel"/>
    <w:tmpl w:val="8C3AFD86"/>
    <w:styleLink w:val="Zaimportowanystyl16"/>
    <w:lvl w:ilvl="0" w:tplc="9F38CF82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08629C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187B2A">
      <w:start w:val="1"/>
      <w:numFmt w:val="lowerRoman"/>
      <w:lvlText w:val="%3."/>
      <w:lvlJc w:val="left"/>
      <w:pPr>
        <w:ind w:left="252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4E619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63816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6E68AE">
      <w:start w:val="1"/>
      <w:numFmt w:val="lowerRoman"/>
      <w:lvlText w:val="%6."/>
      <w:lvlJc w:val="left"/>
      <w:pPr>
        <w:ind w:left="468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245112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0C38C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AA310E">
      <w:start w:val="1"/>
      <w:numFmt w:val="lowerRoman"/>
      <w:lvlText w:val="%9."/>
      <w:lvlJc w:val="left"/>
      <w:pPr>
        <w:ind w:left="684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C0F4AB4"/>
    <w:multiLevelType w:val="hybridMultilevel"/>
    <w:tmpl w:val="32543226"/>
    <w:styleLink w:val="Zaimportowanystyl35"/>
    <w:lvl w:ilvl="0" w:tplc="4D74EC72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1442FC">
      <w:start w:val="1"/>
      <w:numFmt w:val="decimal"/>
      <w:lvlText w:val="%2)"/>
      <w:lvlJc w:val="left"/>
      <w:pPr>
        <w:ind w:left="17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542F4E">
      <w:start w:val="1"/>
      <w:numFmt w:val="lowerRoman"/>
      <w:lvlText w:val="%3."/>
      <w:lvlJc w:val="left"/>
      <w:pPr>
        <w:ind w:left="2508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D61A62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622238">
      <w:start w:val="1"/>
      <w:numFmt w:val="lowerLetter"/>
      <w:lvlText w:val="%5."/>
      <w:lvlJc w:val="left"/>
      <w:pPr>
        <w:ind w:left="394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483A96">
      <w:start w:val="1"/>
      <w:numFmt w:val="lowerRoman"/>
      <w:lvlText w:val="%6."/>
      <w:lvlJc w:val="left"/>
      <w:pPr>
        <w:ind w:left="4668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C83C64">
      <w:start w:val="1"/>
      <w:numFmt w:val="decimal"/>
      <w:lvlText w:val="%7."/>
      <w:lvlJc w:val="left"/>
      <w:pPr>
        <w:ind w:left="53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6BEA2">
      <w:start w:val="1"/>
      <w:numFmt w:val="lowerLetter"/>
      <w:lvlText w:val="%8."/>
      <w:lvlJc w:val="left"/>
      <w:pPr>
        <w:ind w:left="61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9EC6B8">
      <w:start w:val="1"/>
      <w:numFmt w:val="lowerRoman"/>
      <w:lvlText w:val="%9."/>
      <w:lvlJc w:val="left"/>
      <w:pPr>
        <w:ind w:left="6828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0E43BFE"/>
    <w:multiLevelType w:val="hybridMultilevel"/>
    <w:tmpl w:val="71F4FBAC"/>
    <w:styleLink w:val="Zaimportowanystyl9"/>
    <w:lvl w:ilvl="0" w:tplc="C18215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FA0C9A">
      <w:start w:val="1"/>
      <w:numFmt w:val="decimal"/>
      <w:lvlText w:val="%2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E3548">
      <w:start w:val="1"/>
      <w:numFmt w:val="lowerRoman"/>
      <w:lvlText w:val="%3."/>
      <w:lvlJc w:val="left"/>
      <w:pPr>
        <w:ind w:left="1797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48C730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4E6054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CD34C">
      <w:start w:val="1"/>
      <w:numFmt w:val="lowerRoman"/>
      <w:lvlText w:val="%6."/>
      <w:lvlJc w:val="left"/>
      <w:pPr>
        <w:ind w:left="3957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AE064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CA5A3C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4ABDBC">
      <w:start w:val="1"/>
      <w:numFmt w:val="lowerRoman"/>
      <w:lvlText w:val="%9."/>
      <w:lvlJc w:val="left"/>
      <w:pPr>
        <w:ind w:left="6117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26E32A5"/>
    <w:multiLevelType w:val="hybridMultilevel"/>
    <w:tmpl w:val="A52E4768"/>
    <w:numStyleLink w:val="Zaimportowanystyl7"/>
  </w:abstractNum>
  <w:abstractNum w:abstractNumId="47" w15:restartNumberingAfterBreak="0">
    <w:nsid w:val="4497061D"/>
    <w:multiLevelType w:val="hybridMultilevel"/>
    <w:tmpl w:val="7C36819A"/>
    <w:numStyleLink w:val="Zaimportowanystyl37"/>
  </w:abstractNum>
  <w:abstractNum w:abstractNumId="48" w15:restartNumberingAfterBreak="0">
    <w:nsid w:val="44C02B09"/>
    <w:multiLevelType w:val="hybridMultilevel"/>
    <w:tmpl w:val="8C3AFD86"/>
    <w:numStyleLink w:val="Zaimportowanystyl16"/>
  </w:abstractNum>
  <w:abstractNum w:abstractNumId="49" w15:restartNumberingAfterBreak="0">
    <w:nsid w:val="459813EB"/>
    <w:multiLevelType w:val="hybridMultilevel"/>
    <w:tmpl w:val="99D28F80"/>
    <w:styleLink w:val="Zaimportowanystyl1"/>
    <w:lvl w:ilvl="0" w:tplc="B0982D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E1D9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BE2C88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C2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E34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A8CEA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222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88BF7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6CBEE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6D52631"/>
    <w:multiLevelType w:val="hybridMultilevel"/>
    <w:tmpl w:val="71F4FBAC"/>
    <w:numStyleLink w:val="Zaimportowanystyl9"/>
  </w:abstractNum>
  <w:abstractNum w:abstractNumId="51" w15:restartNumberingAfterBreak="0">
    <w:nsid w:val="4CBF7800"/>
    <w:multiLevelType w:val="hybridMultilevel"/>
    <w:tmpl w:val="CC042A58"/>
    <w:styleLink w:val="Zaimportowanystyl39"/>
    <w:lvl w:ilvl="0" w:tplc="CBDAEBBE">
      <w:start w:val="1"/>
      <w:numFmt w:val="decimal"/>
      <w:lvlText w:val="%1."/>
      <w:lvlJc w:val="left"/>
      <w:pPr>
        <w:ind w:left="705" w:hanging="42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D21404">
      <w:start w:val="1"/>
      <w:numFmt w:val="lowerLetter"/>
      <w:lvlText w:val="%2."/>
      <w:lvlJc w:val="left"/>
      <w:pPr>
        <w:ind w:left="1080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2C6BA">
      <w:start w:val="1"/>
      <w:numFmt w:val="lowerRoman"/>
      <w:lvlText w:val="%3."/>
      <w:lvlJc w:val="left"/>
      <w:pPr>
        <w:ind w:left="1800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1ABFCC">
      <w:start w:val="1"/>
      <w:numFmt w:val="decimal"/>
      <w:lvlText w:val="%4."/>
      <w:lvlJc w:val="left"/>
      <w:pPr>
        <w:ind w:left="2520" w:hanging="3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7EECCE">
      <w:start w:val="1"/>
      <w:numFmt w:val="lowerLetter"/>
      <w:lvlText w:val="%5."/>
      <w:lvlJc w:val="left"/>
      <w:pPr>
        <w:ind w:left="3240" w:hanging="3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8BB6E">
      <w:start w:val="1"/>
      <w:numFmt w:val="lowerRoman"/>
      <w:lvlText w:val="%6."/>
      <w:lvlJc w:val="left"/>
      <w:pPr>
        <w:ind w:left="3960" w:hanging="3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26B4BA">
      <w:start w:val="1"/>
      <w:numFmt w:val="decimal"/>
      <w:lvlText w:val="%7."/>
      <w:lvlJc w:val="left"/>
      <w:pPr>
        <w:ind w:left="4680" w:hanging="35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5C42E8">
      <w:start w:val="1"/>
      <w:numFmt w:val="lowerLetter"/>
      <w:lvlText w:val="%8."/>
      <w:lvlJc w:val="left"/>
      <w:pPr>
        <w:ind w:left="5400" w:hanging="3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1A0B20">
      <w:start w:val="1"/>
      <w:numFmt w:val="lowerRoman"/>
      <w:lvlText w:val="%9."/>
      <w:lvlJc w:val="left"/>
      <w:pPr>
        <w:ind w:left="6120" w:hanging="2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3693358"/>
    <w:multiLevelType w:val="hybridMultilevel"/>
    <w:tmpl w:val="C3DC88A8"/>
    <w:numStyleLink w:val="Zaimportowanystyl33"/>
  </w:abstractNum>
  <w:abstractNum w:abstractNumId="53" w15:restartNumberingAfterBreak="0">
    <w:nsid w:val="55CA710A"/>
    <w:multiLevelType w:val="hybridMultilevel"/>
    <w:tmpl w:val="97563CC8"/>
    <w:numStyleLink w:val="Zaimportowanystyl5"/>
  </w:abstractNum>
  <w:abstractNum w:abstractNumId="54" w15:restartNumberingAfterBreak="0">
    <w:nsid w:val="55EC7FA4"/>
    <w:multiLevelType w:val="hybridMultilevel"/>
    <w:tmpl w:val="AC78E76E"/>
    <w:numStyleLink w:val="Zaimportowanystyl31"/>
  </w:abstractNum>
  <w:abstractNum w:abstractNumId="55" w15:restartNumberingAfterBreak="0">
    <w:nsid w:val="560827C7"/>
    <w:multiLevelType w:val="hybridMultilevel"/>
    <w:tmpl w:val="8050F8D0"/>
    <w:styleLink w:val="Zaimportowanystyl27"/>
    <w:lvl w:ilvl="0" w:tplc="E9086C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54C77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10AA48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B2501C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641DE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6C5E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84CC4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8ECB6E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80FD2">
      <w:start w:val="1"/>
      <w:numFmt w:val="lowerRoman"/>
      <w:lvlText w:val="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75776AF"/>
    <w:multiLevelType w:val="hybridMultilevel"/>
    <w:tmpl w:val="99D28F80"/>
    <w:numStyleLink w:val="Zaimportowanystyl1"/>
  </w:abstractNum>
  <w:abstractNum w:abstractNumId="57" w15:restartNumberingAfterBreak="0">
    <w:nsid w:val="585574DC"/>
    <w:multiLevelType w:val="hybridMultilevel"/>
    <w:tmpl w:val="D2DAA28A"/>
    <w:numStyleLink w:val="Zaimportowanystyl22"/>
  </w:abstractNum>
  <w:abstractNum w:abstractNumId="58" w15:restartNumberingAfterBreak="0">
    <w:nsid w:val="5AEB32D5"/>
    <w:multiLevelType w:val="hybridMultilevel"/>
    <w:tmpl w:val="9CA2A160"/>
    <w:numStyleLink w:val="Zaimportowanystyl23"/>
  </w:abstractNum>
  <w:abstractNum w:abstractNumId="59" w15:restartNumberingAfterBreak="0">
    <w:nsid w:val="5D2477F5"/>
    <w:multiLevelType w:val="hybridMultilevel"/>
    <w:tmpl w:val="9CA2A160"/>
    <w:styleLink w:val="Zaimportowanystyl23"/>
    <w:lvl w:ilvl="0" w:tplc="5EE298A2">
      <w:start w:val="1"/>
      <w:numFmt w:val="decimal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1859AA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87B7E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601C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2416A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6888E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E0671C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6C403E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74724A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EE12FE7"/>
    <w:multiLevelType w:val="hybridMultilevel"/>
    <w:tmpl w:val="EFFE616A"/>
    <w:styleLink w:val="Zaimportowanystyl36"/>
    <w:lvl w:ilvl="0" w:tplc="92E84DC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9A437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6644D4">
      <w:start w:val="1"/>
      <w:numFmt w:val="lowerRoman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0CD7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218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CF64C">
      <w:start w:val="1"/>
      <w:numFmt w:val="lowerRoman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886BF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B2497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7E8194">
      <w:start w:val="1"/>
      <w:numFmt w:val="lowerRoman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607B294F"/>
    <w:multiLevelType w:val="hybridMultilevel"/>
    <w:tmpl w:val="E0BC3FF0"/>
    <w:styleLink w:val="Zaimportowanystyl14"/>
    <w:lvl w:ilvl="0" w:tplc="63A2D18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A7666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760688">
      <w:start w:val="1"/>
      <w:numFmt w:val="lowerRoman"/>
      <w:lvlText w:val="%3."/>
      <w:lvlJc w:val="left"/>
      <w:pPr>
        <w:ind w:left="252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E8B6F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503EB2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AE7C0A">
      <w:start w:val="1"/>
      <w:numFmt w:val="lowerRoman"/>
      <w:lvlText w:val="%6."/>
      <w:lvlJc w:val="left"/>
      <w:pPr>
        <w:ind w:left="468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5C9814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8AE06C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74C738">
      <w:start w:val="1"/>
      <w:numFmt w:val="lowerRoman"/>
      <w:lvlText w:val="%9."/>
      <w:lvlJc w:val="left"/>
      <w:pPr>
        <w:ind w:left="684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1054C91"/>
    <w:multiLevelType w:val="hybridMultilevel"/>
    <w:tmpl w:val="5D3E6DB4"/>
    <w:styleLink w:val="Zaimportowanystyl17"/>
    <w:lvl w:ilvl="0" w:tplc="0C68365C">
      <w:start w:val="1"/>
      <w:numFmt w:val="decimal"/>
      <w:lvlText w:val="%1)"/>
      <w:lvlJc w:val="left"/>
      <w:pPr>
        <w:ind w:left="71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64D46C">
      <w:start w:val="1"/>
      <w:numFmt w:val="decimal"/>
      <w:lvlText w:val="%2)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EC49EE">
      <w:start w:val="1"/>
      <w:numFmt w:val="lowerLetter"/>
      <w:lvlText w:val="%3)"/>
      <w:lvlJc w:val="left"/>
      <w:pPr>
        <w:ind w:left="1418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024078">
      <w:start w:val="1"/>
      <w:numFmt w:val="decimal"/>
      <w:lvlText w:val="%4."/>
      <w:lvlJc w:val="left"/>
      <w:pPr>
        <w:ind w:left="2126" w:hanging="5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E9E0C">
      <w:start w:val="1"/>
      <w:numFmt w:val="lowerLetter"/>
      <w:lvlText w:val="%5."/>
      <w:lvlJc w:val="left"/>
      <w:pPr>
        <w:ind w:left="2834" w:hanging="5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708228">
      <w:start w:val="1"/>
      <w:numFmt w:val="lowerRoman"/>
      <w:lvlText w:val="%6."/>
      <w:lvlJc w:val="left"/>
      <w:pPr>
        <w:ind w:left="3542" w:hanging="52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3CAE4A">
      <w:start w:val="1"/>
      <w:numFmt w:val="decimal"/>
      <w:lvlText w:val="%7."/>
      <w:lvlJc w:val="left"/>
      <w:pPr>
        <w:ind w:left="4250" w:hanging="5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CABCE8">
      <w:start w:val="1"/>
      <w:numFmt w:val="lowerLetter"/>
      <w:lvlText w:val="%8."/>
      <w:lvlJc w:val="left"/>
      <w:pPr>
        <w:ind w:left="4958" w:hanging="5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B2FDB8">
      <w:start w:val="1"/>
      <w:numFmt w:val="lowerRoman"/>
      <w:lvlText w:val="%9."/>
      <w:lvlJc w:val="left"/>
      <w:pPr>
        <w:ind w:left="5666" w:hanging="48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1233697"/>
    <w:multiLevelType w:val="hybridMultilevel"/>
    <w:tmpl w:val="1F8CADEA"/>
    <w:styleLink w:val="Zaimportowanystyl30"/>
    <w:lvl w:ilvl="0" w:tplc="567A05CE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8240">
      <w:start w:val="1"/>
      <w:numFmt w:val="lowerLetter"/>
      <w:lvlText w:val="%2.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68E2D0">
      <w:start w:val="1"/>
      <w:numFmt w:val="lowerRoman"/>
      <w:lvlText w:val="%3."/>
      <w:lvlJc w:val="left"/>
      <w:pPr>
        <w:ind w:left="2125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7ADEEA">
      <w:start w:val="1"/>
      <w:numFmt w:val="decimal"/>
      <w:lvlText w:val="%4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24937A">
      <w:start w:val="1"/>
      <w:numFmt w:val="lowerLetter"/>
      <w:lvlText w:val="%5."/>
      <w:lvlJc w:val="left"/>
      <w:pPr>
        <w:ind w:left="3541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9CECD4">
      <w:start w:val="1"/>
      <w:numFmt w:val="lowerRoman"/>
      <w:lvlText w:val="%6."/>
      <w:lvlJc w:val="left"/>
      <w:pPr>
        <w:ind w:left="4249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40F94">
      <w:start w:val="1"/>
      <w:numFmt w:val="decimal"/>
      <w:lvlText w:val="%7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22CE02">
      <w:start w:val="1"/>
      <w:numFmt w:val="lowerLetter"/>
      <w:lvlText w:val="%8."/>
      <w:lvlJc w:val="left"/>
      <w:pPr>
        <w:ind w:left="5665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074C8">
      <w:start w:val="1"/>
      <w:numFmt w:val="lowerRoman"/>
      <w:lvlText w:val="%9."/>
      <w:lvlJc w:val="left"/>
      <w:pPr>
        <w:ind w:left="6373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15A0DE2"/>
    <w:multiLevelType w:val="hybridMultilevel"/>
    <w:tmpl w:val="84B8FD20"/>
    <w:numStyleLink w:val="Zaimportowanystyl12"/>
  </w:abstractNum>
  <w:abstractNum w:abstractNumId="65" w15:restartNumberingAfterBreak="0">
    <w:nsid w:val="616C42A3"/>
    <w:multiLevelType w:val="hybridMultilevel"/>
    <w:tmpl w:val="32543226"/>
    <w:numStyleLink w:val="Zaimportowanystyl35"/>
  </w:abstractNum>
  <w:abstractNum w:abstractNumId="66" w15:restartNumberingAfterBreak="0">
    <w:nsid w:val="6A3A7DDC"/>
    <w:multiLevelType w:val="hybridMultilevel"/>
    <w:tmpl w:val="E7E26DBA"/>
    <w:numStyleLink w:val="Zaimportowanystyl25"/>
  </w:abstractNum>
  <w:abstractNum w:abstractNumId="67" w15:restartNumberingAfterBreak="0">
    <w:nsid w:val="6D314F15"/>
    <w:multiLevelType w:val="hybridMultilevel"/>
    <w:tmpl w:val="A7FCD960"/>
    <w:numStyleLink w:val="Zaimportowanystyl32"/>
  </w:abstractNum>
  <w:abstractNum w:abstractNumId="68" w15:restartNumberingAfterBreak="0">
    <w:nsid w:val="6E772678"/>
    <w:multiLevelType w:val="hybridMultilevel"/>
    <w:tmpl w:val="B9EAC458"/>
    <w:numStyleLink w:val="Zaimportowanystyl24"/>
  </w:abstractNum>
  <w:abstractNum w:abstractNumId="69" w15:restartNumberingAfterBreak="0">
    <w:nsid w:val="6EDB15F6"/>
    <w:multiLevelType w:val="hybridMultilevel"/>
    <w:tmpl w:val="84B8FD20"/>
    <w:styleLink w:val="Zaimportowanystyl12"/>
    <w:lvl w:ilvl="0" w:tplc="5EBA8E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7A8C">
      <w:start w:val="1"/>
      <w:numFmt w:val="decimal"/>
      <w:lvlText w:val="%2)"/>
      <w:lvlJc w:val="left"/>
      <w:pPr>
        <w:ind w:left="107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A5252">
      <w:start w:val="1"/>
      <w:numFmt w:val="lowerRoman"/>
      <w:lvlText w:val="%3."/>
      <w:lvlJc w:val="left"/>
      <w:pPr>
        <w:ind w:left="1797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D69C">
      <w:start w:val="1"/>
      <w:numFmt w:val="decimal"/>
      <w:lvlText w:val="%4."/>
      <w:lvlJc w:val="left"/>
      <w:pPr>
        <w:ind w:left="25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E418BA">
      <w:start w:val="1"/>
      <w:numFmt w:val="lowerLetter"/>
      <w:lvlText w:val="%5."/>
      <w:lvlJc w:val="left"/>
      <w:pPr>
        <w:ind w:left="32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9AC426">
      <w:start w:val="1"/>
      <w:numFmt w:val="lowerRoman"/>
      <w:lvlText w:val="%6."/>
      <w:lvlJc w:val="left"/>
      <w:pPr>
        <w:ind w:left="3957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640">
      <w:start w:val="1"/>
      <w:numFmt w:val="decimal"/>
      <w:lvlText w:val="%7."/>
      <w:lvlJc w:val="left"/>
      <w:pPr>
        <w:ind w:left="467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80D662">
      <w:start w:val="1"/>
      <w:numFmt w:val="lowerLetter"/>
      <w:lvlText w:val="%8."/>
      <w:lvlJc w:val="left"/>
      <w:pPr>
        <w:ind w:left="539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C41C6E">
      <w:start w:val="1"/>
      <w:numFmt w:val="lowerRoman"/>
      <w:lvlText w:val="%9."/>
      <w:lvlJc w:val="left"/>
      <w:pPr>
        <w:ind w:left="6117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F5B467E"/>
    <w:multiLevelType w:val="hybridMultilevel"/>
    <w:tmpl w:val="01789288"/>
    <w:styleLink w:val="Zaimportowanystyl3"/>
    <w:lvl w:ilvl="0" w:tplc="0E5AE1C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2676A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5EBF92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0215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CEE4C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0C5068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3C275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2E26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892F2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7028045C"/>
    <w:multiLevelType w:val="hybridMultilevel"/>
    <w:tmpl w:val="FA38C5AE"/>
    <w:styleLink w:val="Zaimportowanystyl38"/>
    <w:lvl w:ilvl="0" w:tplc="39DABE32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CC9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2CAF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49D6A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053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E097EA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22A83A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AA8122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E5D0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70E25952"/>
    <w:multiLevelType w:val="hybridMultilevel"/>
    <w:tmpl w:val="C11E44E2"/>
    <w:styleLink w:val="Zaimportowanystyl21"/>
    <w:lvl w:ilvl="0" w:tplc="1212B128">
      <w:start w:val="1"/>
      <w:numFmt w:val="decimal"/>
      <w:lvlText w:val="%1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CEA6DE">
      <w:start w:val="1"/>
      <w:numFmt w:val="decimal"/>
      <w:lvlText w:val="%2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1AEE4E">
      <w:start w:val="1"/>
      <w:numFmt w:val="lowerLetter"/>
      <w:suff w:val="nothing"/>
      <w:lvlText w:val="%3."/>
      <w:lvlJc w:val="left"/>
      <w:pPr>
        <w:ind w:left="21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E8F738">
      <w:start w:val="1"/>
      <w:numFmt w:val="lowerLetter"/>
      <w:lvlText w:val="%4."/>
      <w:lvlJc w:val="left"/>
      <w:pPr>
        <w:ind w:left="283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EC73A">
      <w:start w:val="1"/>
      <w:numFmt w:val="decimal"/>
      <w:lvlText w:val="%5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2CC4B6">
      <w:start w:val="1"/>
      <w:numFmt w:val="lowerRoman"/>
      <w:lvlText w:val="%6."/>
      <w:lvlJc w:val="left"/>
      <w:pPr>
        <w:ind w:left="1854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76EA20">
      <w:start w:val="1"/>
      <w:numFmt w:val="decimal"/>
      <w:lvlText w:val="%7."/>
      <w:lvlJc w:val="left"/>
      <w:pPr>
        <w:ind w:left="25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ECA200">
      <w:start w:val="1"/>
      <w:numFmt w:val="lowerLetter"/>
      <w:lvlText w:val="%8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F84A7A">
      <w:start w:val="1"/>
      <w:numFmt w:val="lowerRoman"/>
      <w:lvlText w:val="%9."/>
      <w:lvlJc w:val="left"/>
      <w:pPr>
        <w:ind w:left="4014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726276F5"/>
    <w:multiLevelType w:val="hybridMultilevel"/>
    <w:tmpl w:val="E452D1AA"/>
    <w:numStyleLink w:val="Zaimportowanystyl34"/>
  </w:abstractNum>
  <w:abstractNum w:abstractNumId="74" w15:restartNumberingAfterBreak="0">
    <w:nsid w:val="732B0393"/>
    <w:multiLevelType w:val="hybridMultilevel"/>
    <w:tmpl w:val="26840E58"/>
    <w:numStyleLink w:val="Zaimportowanystyl29"/>
  </w:abstractNum>
  <w:abstractNum w:abstractNumId="75" w15:restartNumberingAfterBreak="0">
    <w:nsid w:val="74193413"/>
    <w:multiLevelType w:val="hybridMultilevel"/>
    <w:tmpl w:val="D3FACDDA"/>
    <w:numStyleLink w:val="Zaimportowanystyl4"/>
  </w:abstractNum>
  <w:abstractNum w:abstractNumId="76" w15:restartNumberingAfterBreak="0">
    <w:nsid w:val="76380D6C"/>
    <w:multiLevelType w:val="hybridMultilevel"/>
    <w:tmpl w:val="76120AE0"/>
    <w:numStyleLink w:val="Zaimportowanystyl6"/>
  </w:abstractNum>
  <w:abstractNum w:abstractNumId="77" w15:restartNumberingAfterBreak="0">
    <w:nsid w:val="775266EA"/>
    <w:multiLevelType w:val="hybridMultilevel"/>
    <w:tmpl w:val="C0F06BE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8" w15:restartNumberingAfterBreak="0">
    <w:nsid w:val="7D9B73FC"/>
    <w:multiLevelType w:val="hybridMultilevel"/>
    <w:tmpl w:val="A7FCD960"/>
    <w:styleLink w:val="Zaimportowanystyl32"/>
    <w:lvl w:ilvl="0" w:tplc="D0365D1C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8E26FC">
      <w:start w:val="1"/>
      <w:numFmt w:val="lowerLetter"/>
      <w:lvlText w:val="%2.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A49340">
      <w:start w:val="1"/>
      <w:numFmt w:val="lowerRoman"/>
      <w:lvlText w:val="%3."/>
      <w:lvlJc w:val="left"/>
      <w:pPr>
        <w:ind w:left="2125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700440">
      <w:start w:val="1"/>
      <w:numFmt w:val="decimal"/>
      <w:lvlText w:val="%4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6EF20">
      <w:start w:val="1"/>
      <w:numFmt w:val="lowerLetter"/>
      <w:lvlText w:val="%5."/>
      <w:lvlJc w:val="left"/>
      <w:pPr>
        <w:ind w:left="3541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B06652">
      <w:start w:val="1"/>
      <w:numFmt w:val="lowerRoman"/>
      <w:lvlText w:val="%6."/>
      <w:lvlJc w:val="left"/>
      <w:pPr>
        <w:ind w:left="4249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008592">
      <w:start w:val="1"/>
      <w:numFmt w:val="decimal"/>
      <w:lvlText w:val="%7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F629F4">
      <w:start w:val="1"/>
      <w:numFmt w:val="lowerLetter"/>
      <w:lvlText w:val="%8."/>
      <w:lvlJc w:val="left"/>
      <w:pPr>
        <w:ind w:left="5665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62408">
      <w:start w:val="1"/>
      <w:numFmt w:val="lowerRoman"/>
      <w:lvlText w:val="%9."/>
      <w:lvlJc w:val="left"/>
      <w:pPr>
        <w:ind w:left="6373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EE57B9F"/>
    <w:multiLevelType w:val="hybridMultilevel"/>
    <w:tmpl w:val="AC78E76E"/>
    <w:styleLink w:val="Zaimportowanystyl31"/>
    <w:lvl w:ilvl="0" w:tplc="ECB0AF5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B8657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987A20">
      <w:start w:val="1"/>
      <w:numFmt w:val="lowerRoman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DA166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A8A9C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0EFC34">
      <w:start w:val="1"/>
      <w:numFmt w:val="lowerRoman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50E59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9C8C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F89202">
      <w:start w:val="1"/>
      <w:numFmt w:val="lowerRoman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9"/>
  </w:num>
  <w:num w:numId="2">
    <w:abstractNumId w:val="56"/>
  </w:num>
  <w:num w:numId="3">
    <w:abstractNumId w:val="42"/>
  </w:num>
  <w:num w:numId="4">
    <w:abstractNumId w:val="2"/>
  </w:num>
  <w:num w:numId="5">
    <w:abstractNumId w:val="56"/>
    <w:lvlOverride w:ilvl="0">
      <w:startOverride w:val="2"/>
    </w:lvlOverride>
  </w:num>
  <w:num w:numId="6">
    <w:abstractNumId w:val="70"/>
  </w:num>
  <w:num w:numId="7">
    <w:abstractNumId w:val="26"/>
  </w:num>
  <w:num w:numId="8">
    <w:abstractNumId w:val="56"/>
    <w:lvlOverride w:ilvl="0">
      <w:startOverride w:val="3"/>
    </w:lvlOverride>
  </w:num>
  <w:num w:numId="9">
    <w:abstractNumId w:val="14"/>
  </w:num>
  <w:num w:numId="10">
    <w:abstractNumId w:val="75"/>
  </w:num>
  <w:num w:numId="11">
    <w:abstractNumId w:val="35"/>
  </w:num>
  <w:num w:numId="12">
    <w:abstractNumId w:val="53"/>
    <w:lvlOverride w:ilvl="0">
      <w:lvl w:ilvl="0" w:tplc="AE3A8E3E">
        <w:start w:val="1"/>
        <w:numFmt w:val="decimal"/>
        <w:lvlText w:val="%1)"/>
        <w:lvlJc w:val="left"/>
        <w:pPr>
          <w:tabs>
            <w:tab w:val="num" w:pos="708"/>
          </w:tabs>
          <w:ind w:left="720" w:hanging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8"/>
  </w:num>
  <w:num w:numId="14">
    <w:abstractNumId w:val="76"/>
  </w:num>
  <w:num w:numId="15">
    <w:abstractNumId w:val="53"/>
    <w:lvlOverride w:ilvl="0">
      <w:startOverride w:val="10"/>
    </w:lvlOverride>
  </w:num>
  <w:num w:numId="16">
    <w:abstractNumId w:val="19"/>
  </w:num>
  <w:num w:numId="17">
    <w:abstractNumId w:val="46"/>
  </w:num>
  <w:num w:numId="18">
    <w:abstractNumId w:val="46"/>
    <w:lvlOverride w:ilvl="0">
      <w:lvl w:ilvl="0" w:tplc="E0080D04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0EEAF8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A2AD00">
        <w:start w:val="1"/>
        <w:numFmt w:val="lowerRoman"/>
        <w:lvlText w:val="%3."/>
        <w:lvlJc w:val="left"/>
        <w:pPr>
          <w:ind w:left="179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5CFA50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50B642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C6EC7E">
        <w:start w:val="1"/>
        <w:numFmt w:val="lowerRoman"/>
        <w:lvlText w:val="%6."/>
        <w:lvlJc w:val="left"/>
        <w:pPr>
          <w:ind w:left="395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B010B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F0B2EA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5EEF34">
        <w:start w:val="1"/>
        <w:numFmt w:val="lowerRoman"/>
        <w:lvlText w:val="%9."/>
        <w:lvlJc w:val="left"/>
        <w:pPr>
          <w:ind w:left="611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46"/>
    <w:lvlOverride w:ilvl="0">
      <w:lvl w:ilvl="0" w:tplc="E0080D04">
        <w:start w:val="1"/>
        <w:numFmt w:val="decimal"/>
        <w:lvlText w:val="%1."/>
        <w:lvlJc w:val="left"/>
        <w:pPr>
          <w:tabs>
            <w:tab w:val="num" w:pos="360"/>
            <w:tab w:val="left" w:pos="426"/>
          </w:tabs>
          <w:ind w:left="4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0EEAF8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num" w:pos="1146"/>
          </w:tabs>
          <w:ind w:left="121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A2AD00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num" w:pos="1866"/>
          </w:tabs>
          <w:ind w:left="1932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5CFA50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num" w:pos="2586"/>
          </w:tabs>
          <w:ind w:left="265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50B642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num" w:pos="3306"/>
          </w:tabs>
          <w:ind w:left="337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C6EC7E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num" w:pos="4026"/>
          </w:tabs>
          <w:ind w:left="4092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B010B6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num" w:pos="4746"/>
          </w:tabs>
          <w:ind w:left="481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F0B2EA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num" w:pos="5466"/>
          </w:tabs>
          <w:ind w:left="553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5EEF3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num" w:pos="6186"/>
          </w:tabs>
          <w:ind w:left="6252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8"/>
  </w:num>
  <w:num w:numId="21">
    <w:abstractNumId w:val="8"/>
  </w:num>
  <w:num w:numId="22">
    <w:abstractNumId w:val="46"/>
    <w:lvlOverride w:ilvl="0">
      <w:startOverride w:val="4"/>
      <w:lvl w:ilvl="0" w:tplc="E0080D04">
        <w:start w:val="4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C0EEAF8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9A2AD00">
        <w:start w:val="1"/>
        <w:numFmt w:val="lowerRoman"/>
        <w:lvlText w:val="%3."/>
        <w:lvlJc w:val="left"/>
        <w:pPr>
          <w:ind w:left="179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C5CFA50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150B642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EC6EC7E">
        <w:start w:val="1"/>
        <w:numFmt w:val="lowerRoman"/>
        <w:lvlText w:val="%6."/>
        <w:lvlJc w:val="left"/>
        <w:pPr>
          <w:ind w:left="395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B010B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F0B2EA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35EEF34">
        <w:start w:val="1"/>
        <w:numFmt w:val="lowerRoman"/>
        <w:lvlText w:val="%9."/>
        <w:lvlJc w:val="left"/>
        <w:pPr>
          <w:ind w:left="611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45"/>
  </w:num>
  <w:num w:numId="24">
    <w:abstractNumId w:val="50"/>
  </w:num>
  <w:num w:numId="25">
    <w:abstractNumId w:val="3"/>
  </w:num>
  <w:num w:numId="26">
    <w:abstractNumId w:val="25"/>
  </w:num>
  <w:num w:numId="27">
    <w:abstractNumId w:val="50"/>
    <w:lvlOverride w:ilvl="0">
      <w:startOverride w:val="2"/>
    </w:lvlOverride>
  </w:num>
  <w:num w:numId="28">
    <w:abstractNumId w:val="21"/>
  </w:num>
  <w:num w:numId="29">
    <w:abstractNumId w:val="34"/>
  </w:num>
  <w:num w:numId="30">
    <w:abstractNumId w:val="50"/>
    <w:lvlOverride w:ilvl="0">
      <w:startOverride w:val="5"/>
    </w:lvlOverride>
  </w:num>
  <w:num w:numId="31">
    <w:abstractNumId w:val="69"/>
  </w:num>
  <w:num w:numId="32">
    <w:abstractNumId w:val="64"/>
  </w:num>
  <w:num w:numId="33">
    <w:abstractNumId w:val="5"/>
  </w:num>
  <w:num w:numId="34">
    <w:abstractNumId w:val="1"/>
  </w:num>
  <w:num w:numId="35">
    <w:abstractNumId w:val="1"/>
    <w:lvlOverride w:ilvl="0">
      <w:lvl w:ilvl="0" w:tplc="836EA76C">
        <w:start w:val="1"/>
        <w:numFmt w:val="lowerLetter"/>
        <w:lvlText w:val="%1)"/>
        <w:lvlJc w:val="left"/>
        <w:pPr>
          <w:tabs>
            <w:tab w:val="left" w:pos="1134"/>
          </w:tabs>
          <w:ind w:left="141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A0F554">
        <w:start w:val="1"/>
        <w:numFmt w:val="lowerLetter"/>
        <w:lvlText w:val="%2."/>
        <w:lvlJc w:val="left"/>
        <w:pPr>
          <w:tabs>
            <w:tab w:val="left" w:pos="1134"/>
          </w:tabs>
          <w:ind w:left="1780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D28CB8">
        <w:start w:val="1"/>
        <w:numFmt w:val="lowerRoman"/>
        <w:lvlText w:val="%3."/>
        <w:lvlJc w:val="left"/>
        <w:pPr>
          <w:tabs>
            <w:tab w:val="left" w:pos="1134"/>
            <w:tab w:val="num" w:pos="2124"/>
          </w:tabs>
          <w:ind w:left="2160" w:hanging="3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2EA91C">
        <w:start w:val="1"/>
        <w:numFmt w:val="decimal"/>
        <w:lvlText w:val="%4."/>
        <w:lvlJc w:val="left"/>
        <w:pPr>
          <w:tabs>
            <w:tab w:val="left" w:pos="1134"/>
            <w:tab w:val="num" w:pos="2832"/>
          </w:tabs>
          <w:ind w:left="2868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3068E8">
        <w:start w:val="1"/>
        <w:numFmt w:val="lowerLetter"/>
        <w:lvlText w:val="%5."/>
        <w:lvlJc w:val="left"/>
        <w:pPr>
          <w:tabs>
            <w:tab w:val="left" w:pos="1134"/>
            <w:tab w:val="num" w:pos="3540"/>
          </w:tabs>
          <w:ind w:left="357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38CE64">
        <w:start w:val="1"/>
        <w:numFmt w:val="lowerRoman"/>
        <w:lvlText w:val="%6."/>
        <w:lvlJc w:val="left"/>
        <w:pPr>
          <w:tabs>
            <w:tab w:val="left" w:pos="1134"/>
            <w:tab w:val="num" w:pos="4248"/>
          </w:tabs>
          <w:ind w:left="4284" w:hanging="27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C89A34">
        <w:start w:val="1"/>
        <w:numFmt w:val="decimal"/>
        <w:lvlText w:val="%7."/>
        <w:lvlJc w:val="left"/>
        <w:pPr>
          <w:tabs>
            <w:tab w:val="left" w:pos="1134"/>
            <w:tab w:val="num" w:pos="4956"/>
          </w:tabs>
          <w:ind w:left="4992" w:hanging="3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6C6174">
        <w:start w:val="1"/>
        <w:numFmt w:val="lowerLetter"/>
        <w:lvlText w:val="%8."/>
        <w:lvlJc w:val="left"/>
        <w:pPr>
          <w:tabs>
            <w:tab w:val="left" w:pos="1134"/>
            <w:tab w:val="num" w:pos="5664"/>
          </w:tabs>
          <w:ind w:left="57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484AF8">
        <w:start w:val="1"/>
        <w:numFmt w:val="lowerRoman"/>
        <w:lvlText w:val="%9."/>
        <w:lvlJc w:val="left"/>
        <w:pPr>
          <w:tabs>
            <w:tab w:val="left" w:pos="1134"/>
            <w:tab w:val="num" w:pos="6372"/>
          </w:tabs>
          <w:ind w:left="6408" w:hanging="2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64"/>
    <w:lvlOverride w:ilvl="1">
      <w:startOverride w:val="2"/>
    </w:lvlOverride>
  </w:num>
  <w:num w:numId="37">
    <w:abstractNumId w:val="50"/>
    <w:lvlOverride w:ilvl="0">
      <w:startOverride w:val="8"/>
    </w:lvlOverride>
  </w:num>
  <w:num w:numId="38">
    <w:abstractNumId w:val="61"/>
  </w:num>
  <w:num w:numId="39">
    <w:abstractNumId w:val="24"/>
  </w:num>
  <w:num w:numId="40">
    <w:abstractNumId w:val="16"/>
  </w:num>
  <w:num w:numId="41">
    <w:abstractNumId w:val="13"/>
  </w:num>
  <w:num w:numId="42">
    <w:abstractNumId w:val="43"/>
  </w:num>
  <w:num w:numId="43">
    <w:abstractNumId w:val="48"/>
  </w:num>
  <w:num w:numId="44">
    <w:abstractNumId w:val="62"/>
  </w:num>
  <w:num w:numId="45">
    <w:abstractNumId w:val="33"/>
  </w:num>
  <w:num w:numId="46">
    <w:abstractNumId w:val="37"/>
  </w:num>
  <w:num w:numId="47">
    <w:abstractNumId w:val="18"/>
  </w:num>
  <w:num w:numId="48">
    <w:abstractNumId w:val="33"/>
    <w:lvlOverride w:ilvl="2">
      <w:startOverride w:val="3"/>
    </w:lvlOverride>
  </w:num>
  <w:num w:numId="49">
    <w:abstractNumId w:val="33"/>
    <w:lvlOverride w:ilvl="2">
      <w:startOverride w:val="4"/>
    </w:lvlOverride>
  </w:num>
  <w:num w:numId="50">
    <w:abstractNumId w:val="48"/>
    <w:lvlOverride w:ilvl="0">
      <w:startOverride w:val="2"/>
    </w:lvlOverride>
  </w:num>
  <w:num w:numId="51">
    <w:abstractNumId w:val="27"/>
  </w:num>
  <w:num w:numId="52">
    <w:abstractNumId w:val="10"/>
  </w:num>
  <w:num w:numId="53">
    <w:abstractNumId w:val="48"/>
    <w:lvlOverride w:ilvl="0">
      <w:startOverride w:val="3"/>
    </w:lvlOverride>
  </w:num>
  <w:num w:numId="54">
    <w:abstractNumId w:val="13"/>
    <w:lvlOverride w:ilvl="0">
      <w:startOverride w:val="3"/>
    </w:lvlOverride>
  </w:num>
  <w:num w:numId="55">
    <w:abstractNumId w:val="20"/>
  </w:num>
  <w:num w:numId="56">
    <w:abstractNumId w:val="39"/>
  </w:num>
  <w:num w:numId="57">
    <w:abstractNumId w:val="13"/>
    <w:lvlOverride w:ilvl="0">
      <w:startOverride w:val="6"/>
    </w:lvlOverride>
  </w:num>
  <w:num w:numId="58">
    <w:abstractNumId w:val="72"/>
  </w:num>
  <w:num w:numId="59">
    <w:abstractNumId w:val="12"/>
  </w:num>
  <w:num w:numId="60">
    <w:abstractNumId w:val="13"/>
    <w:lvlOverride w:ilvl="0">
      <w:startOverride w:val="10"/>
    </w:lvlOverride>
  </w:num>
  <w:num w:numId="61">
    <w:abstractNumId w:val="17"/>
  </w:num>
  <w:num w:numId="62">
    <w:abstractNumId w:val="57"/>
  </w:num>
  <w:num w:numId="63">
    <w:abstractNumId w:val="13"/>
    <w:lvlOverride w:ilvl="0">
      <w:startOverride w:val="12"/>
    </w:lvlOverride>
  </w:num>
  <w:num w:numId="64">
    <w:abstractNumId w:val="59"/>
  </w:num>
  <w:num w:numId="65">
    <w:abstractNumId w:val="58"/>
  </w:num>
  <w:num w:numId="66">
    <w:abstractNumId w:val="13"/>
    <w:lvlOverride w:ilvl="0">
      <w:startOverride w:val="15"/>
    </w:lvlOverride>
  </w:num>
  <w:num w:numId="67">
    <w:abstractNumId w:val="9"/>
  </w:num>
  <w:num w:numId="68">
    <w:abstractNumId w:val="68"/>
  </w:num>
  <w:num w:numId="69">
    <w:abstractNumId w:val="68"/>
    <w:lvlOverride w:ilvl="0">
      <w:lvl w:ilvl="0" w:tplc="E19EF97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708D3E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6E43A8">
        <w:start w:val="1"/>
        <w:numFmt w:val="lowerRoman"/>
        <w:lvlText w:val="%3."/>
        <w:lvlJc w:val="left"/>
        <w:pPr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EEBC50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14893E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4016E2">
        <w:start w:val="1"/>
        <w:numFmt w:val="lowerRoman"/>
        <w:lvlText w:val="%6."/>
        <w:lvlJc w:val="left"/>
        <w:pPr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FC83D0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E6BC0C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8A83E4">
        <w:start w:val="1"/>
        <w:numFmt w:val="lowerRoman"/>
        <w:lvlText w:val="%9."/>
        <w:lvlJc w:val="left"/>
        <w:pPr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68"/>
    <w:lvlOverride w:ilvl="0">
      <w:lvl w:ilvl="0" w:tplc="E19EF97E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708D3E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6E43A8">
        <w:start w:val="1"/>
        <w:numFmt w:val="lowerRoman"/>
        <w:lvlText w:val="%3."/>
        <w:lvlJc w:val="left"/>
        <w:pPr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EEBC50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14893E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4016E2">
        <w:start w:val="1"/>
        <w:numFmt w:val="lowerRoman"/>
        <w:lvlText w:val="%6."/>
        <w:lvlJc w:val="left"/>
        <w:pPr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FC83D0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E6BC0C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8A83E4">
        <w:start w:val="1"/>
        <w:numFmt w:val="lowerRoman"/>
        <w:lvlText w:val="%9."/>
        <w:lvlJc w:val="left"/>
        <w:pPr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>
    <w:abstractNumId w:val="32"/>
  </w:num>
  <w:num w:numId="72">
    <w:abstractNumId w:val="66"/>
  </w:num>
  <w:num w:numId="73">
    <w:abstractNumId w:val="68"/>
    <w:lvlOverride w:ilvl="0">
      <w:startOverride w:val="5"/>
      <w:lvl w:ilvl="0" w:tplc="E19EF97E">
        <w:start w:val="5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F708D3E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26E43A8">
        <w:start w:val="1"/>
        <w:numFmt w:val="lowerRoman"/>
        <w:lvlText w:val="%3."/>
        <w:lvlJc w:val="left"/>
        <w:pPr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AEEBC50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E14893E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C4016E2">
        <w:start w:val="1"/>
        <w:numFmt w:val="lowerRoman"/>
        <w:lvlText w:val="%6."/>
        <w:lvlJc w:val="left"/>
        <w:pPr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FC83D0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E6BC0C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F8A83E4">
        <w:start w:val="1"/>
        <w:numFmt w:val="lowerRoman"/>
        <w:lvlText w:val="%9."/>
        <w:lvlJc w:val="left"/>
        <w:pPr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>
    <w:abstractNumId w:val="31"/>
  </w:num>
  <w:num w:numId="75">
    <w:abstractNumId w:val="7"/>
  </w:num>
  <w:num w:numId="76">
    <w:abstractNumId w:val="7"/>
    <w:lvlOverride w:ilvl="0">
      <w:lvl w:ilvl="0" w:tplc="BB645D0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0CB90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0634F0">
        <w:start w:val="1"/>
        <w:numFmt w:val="lowerRoman"/>
        <w:lvlText w:val="%3."/>
        <w:lvlJc w:val="left"/>
        <w:pPr>
          <w:ind w:left="180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46010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D8C3A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868C92">
        <w:start w:val="1"/>
        <w:numFmt w:val="lowerRoman"/>
        <w:lvlText w:val="%6."/>
        <w:lvlJc w:val="left"/>
        <w:pPr>
          <w:ind w:left="39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AC1E0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1E615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AA623C">
        <w:start w:val="1"/>
        <w:numFmt w:val="lowerRoman"/>
        <w:lvlText w:val="%9."/>
        <w:lvlJc w:val="left"/>
        <w:pPr>
          <w:ind w:left="61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7"/>
    <w:lvlOverride w:ilvl="0">
      <w:startOverride w:val="3"/>
      <w:lvl w:ilvl="0" w:tplc="BB645D08">
        <w:start w:val="3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80CB902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B0634F0">
        <w:start w:val="1"/>
        <w:numFmt w:val="lowerRoman"/>
        <w:lvlText w:val="%3."/>
        <w:lvlJc w:val="left"/>
        <w:pPr>
          <w:ind w:left="1866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746010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D8C3AC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A868C92">
        <w:start w:val="1"/>
        <w:numFmt w:val="lowerRoman"/>
        <w:lvlText w:val="%6."/>
        <w:lvlJc w:val="left"/>
        <w:pPr>
          <w:ind w:left="4026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AC1E0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1E615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EAA623C">
        <w:start w:val="1"/>
        <w:numFmt w:val="lowerRoman"/>
        <w:lvlText w:val="%9."/>
        <w:lvlJc w:val="left"/>
        <w:pPr>
          <w:ind w:left="6186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>
    <w:abstractNumId w:val="7"/>
    <w:lvlOverride w:ilvl="0">
      <w:lvl w:ilvl="0" w:tplc="BB645D08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0CB902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0634F0">
        <w:start w:val="1"/>
        <w:numFmt w:val="lowerRoman"/>
        <w:lvlText w:val="%3."/>
        <w:lvlJc w:val="left"/>
        <w:pPr>
          <w:ind w:left="1865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460108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D8C3AC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868C92">
        <w:start w:val="1"/>
        <w:numFmt w:val="lowerRoman"/>
        <w:lvlText w:val="%6."/>
        <w:lvlJc w:val="left"/>
        <w:pPr>
          <w:ind w:left="4025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AC1E0C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1E6154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AA623C">
        <w:start w:val="1"/>
        <w:numFmt w:val="lowerRoman"/>
        <w:lvlText w:val="%9."/>
        <w:lvlJc w:val="left"/>
        <w:pPr>
          <w:ind w:left="6185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55"/>
  </w:num>
  <w:num w:numId="80">
    <w:abstractNumId w:val="41"/>
  </w:num>
  <w:num w:numId="81">
    <w:abstractNumId w:val="23"/>
  </w:num>
  <w:num w:numId="82">
    <w:abstractNumId w:val="11"/>
  </w:num>
  <w:num w:numId="83">
    <w:abstractNumId w:val="30"/>
  </w:num>
  <w:num w:numId="84">
    <w:abstractNumId w:val="74"/>
  </w:num>
  <w:num w:numId="85">
    <w:abstractNumId w:val="11"/>
    <w:lvlOverride w:ilvl="0">
      <w:startOverride w:val="4"/>
    </w:lvlOverride>
  </w:num>
  <w:num w:numId="86">
    <w:abstractNumId w:val="63"/>
  </w:num>
  <w:num w:numId="87">
    <w:abstractNumId w:val="29"/>
  </w:num>
  <w:num w:numId="88">
    <w:abstractNumId w:val="11"/>
    <w:lvlOverride w:ilvl="0">
      <w:startOverride w:val="22"/>
    </w:lvlOverride>
  </w:num>
  <w:num w:numId="89">
    <w:abstractNumId w:val="79"/>
  </w:num>
  <w:num w:numId="90">
    <w:abstractNumId w:val="54"/>
  </w:num>
  <w:num w:numId="91">
    <w:abstractNumId w:val="78"/>
  </w:num>
  <w:num w:numId="92">
    <w:abstractNumId w:val="67"/>
  </w:num>
  <w:num w:numId="93">
    <w:abstractNumId w:val="54"/>
    <w:lvlOverride w:ilvl="0">
      <w:startOverride w:val="2"/>
      <w:lvl w:ilvl="0" w:tplc="BBEAA32A">
        <w:start w:val="2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7203C42">
        <w:start w:val="1"/>
        <w:numFmt w:val="lowerLetter"/>
        <w:lvlText w:val="%2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104CE4A">
        <w:start w:val="1"/>
        <w:numFmt w:val="lowerRoman"/>
        <w:lvlText w:val="%3."/>
        <w:lvlJc w:val="left"/>
        <w:pPr>
          <w:tabs>
            <w:tab w:val="left" w:pos="284"/>
          </w:tabs>
          <w:ind w:left="172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3A279A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5ECA04A">
        <w:start w:val="1"/>
        <w:numFmt w:val="lowerLetter"/>
        <w:lvlText w:val="%5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67C154A">
        <w:start w:val="1"/>
        <w:numFmt w:val="lowerRoman"/>
        <w:lvlText w:val="%6."/>
        <w:lvlJc w:val="left"/>
        <w:pPr>
          <w:tabs>
            <w:tab w:val="left" w:pos="284"/>
          </w:tabs>
          <w:ind w:left="388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3ECBC7A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B43EA4">
        <w:start w:val="1"/>
        <w:numFmt w:val="lowerLetter"/>
        <w:lvlText w:val="%8."/>
        <w:lvlJc w:val="left"/>
        <w:pPr>
          <w:tabs>
            <w:tab w:val="left" w:pos="284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7D65F6C">
        <w:start w:val="1"/>
        <w:numFmt w:val="lowerRoman"/>
        <w:lvlText w:val="%9."/>
        <w:lvlJc w:val="left"/>
        <w:pPr>
          <w:tabs>
            <w:tab w:val="left" w:pos="284"/>
          </w:tabs>
          <w:ind w:left="604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22"/>
  </w:num>
  <w:num w:numId="95">
    <w:abstractNumId w:val="52"/>
    <w:lvlOverride w:ilvl="0">
      <w:lvl w:ilvl="0" w:tplc="25A0AFCA">
        <w:start w:val="1"/>
        <w:numFmt w:val="decimal"/>
        <w:lvlText w:val="%1."/>
        <w:lvlJc w:val="left"/>
        <w:pPr>
          <w:ind w:left="502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6">
    <w:abstractNumId w:val="6"/>
  </w:num>
  <w:num w:numId="97">
    <w:abstractNumId w:val="73"/>
  </w:num>
  <w:num w:numId="98">
    <w:abstractNumId w:val="73"/>
    <w:lvlOverride w:ilvl="0">
      <w:lvl w:ilvl="0" w:tplc="62FAA900">
        <w:start w:val="1"/>
        <w:numFmt w:val="decimal"/>
        <w:lvlText w:val="%1."/>
        <w:lvlJc w:val="left"/>
        <w:pPr>
          <w:ind w:left="49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9E410A">
        <w:start w:val="1"/>
        <w:numFmt w:val="lowerLetter"/>
        <w:lvlText w:val="%2."/>
        <w:lvlJc w:val="left"/>
        <w:pPr>
          <w:ind w:left="121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3C98DA">
        <w:start w:val="1"/>
        <w:numFmt w:val="lowerRoman"/>
        <w:lvlText w:val="%3."/>
        <w:lvlJc w:val="left"/>
        <w:pPr>
          <w:ind w:left="1939" w:hanging="31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14B072">
        <w:start w:val="1"/>
        <w:numFmt w:val="decimal"/>
        <w:lvlText w:val="%4."/>
        <w:lvlJc w:val="left"/>
        <w:pPr>
          <w:ind w:left="265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007EE6">
        <w:start w:val="1"/>
        <w:numFmt w:val="lowerLetter"/>
        <w:lvlText w:val="%5."/>
        <w:lvlJc w:val="left"/>
        <w:pPr>
          <w:ind w:left="337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2680C2">
        <w:start w:val="1"/>
        <w:numFmt w:val="lowerRoman"/>
        <w:lvlText w:val="%6."/>
        <w:lvlJc w:val="left"/>
        <w:pPr>
          <w:ind w:left="4099" w:hanging="31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8AB48A">
        <w:start w:val="1"/>
        <w:numFmt w:val="decimal"/>
        <w:lvlText w:val="%7."/>
        <w:lvlJc w:val="left"/>
        <w:pPr>
          <w:ind w:left="481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02F422">
        <w:start w:val="1"/>
        <w:numFmt w:val="lowerLetter"/>
        <w:lvlText w:val="%8."/>
        <w:lvlJc w:val="left"/>
        <w:pPr>
          <w:ind w:left="553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FE7BE6">
        <w:start w:val="1"/>
        <w:numFmt w:val="lowerRoman"/>
        <w:lvlText w:val="%9."/>
        <w:lvlJc w:val="left"/>
        <w:pPr>
          <w:ind w:left="6259" w:hanging="31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44"/>
  </w:num>
  <w:num w:numId="100">
    <w:abstractNumId w:val="65"/>
  </w:num>
  <w:num w:numId="101">
    <w:abstractNumId w:val="73"/>
    <w:lvlOverride w:ilvl="0">
      <w:startOverride w:val="13"/>
    </w:lvlOverride>
  </w:num>
  <w:num w:numId="102">
    <w:abstractNumId w:val="60"/>
  </w:num>
  <w:num w:numId="103">
    <w:abstractNumId w:val="0"/>
  </w:num>
  <w:num w:numId="104">
    <w:abstractNumId w:val="0"/>
    <w:lvlOverride w:ilvl="0">
      <w:lvl w:ilvl="0" w:tplc="15C696F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94B53C">
        <w:start w:val="1"/>
        <w:numFmt w:val="lowerLetter"/>
        <w:lvlText w:val="%2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4CF944">
        <w:start w:val="1"/>
        <w:numFmt w:val="lowerRoman"/>
        <w:lvlText w:val="%3."/>
        <w:lvlJc w:val="left"/>
        <w:pPr>
          <w:tabs>
            <w:tab w:val="left" w:pos="284"/>
          </w:tabs>
          <w:ind w:left="172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A4556A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F6CB96">
        <w:start w:val="1"/>
        <w:numFmt w:val="lowerLetter"/>
        <w:lvlText w:val="%5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B00AE4">
        <w:start w:val="1"/>
        <w:numFmt w:val="lowerRoman"/>
        <w:lvlText w:val="%6."/>
        <w:lvlJc w:val="left"/>
        <w:pPr>
          <w:tabs>
            <w:tab w:val="left" w:pos="284"/>
          </w:tabs>
          <w:ind w:left="388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76C152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0226DE">
        <w:start w:val="1"/>
        <w:numFmt w:val="lowerLetter"/>
        <w:lvlText w:val="%8."/>
        <w:lvlJc w:val="left"/>
        <w:pPr>
          <w:tabs>
            <w:tab w:val="left" w:pos="284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344F5A">
        <w:start w:val="1"/>
        <w:numFmt w:val="lowerRoman"/>
        <w:lvlText w:val="%9."/>
        <w:lvlJc w:val="left"/>
        <w:pPr>
          <w:tabs>
            <w:tab w:val="left" w:pos="284"/>
          </w:tabs>
          <w:ind w:left="604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>
    <w:abstractNumId w:val="15"/>
  </w:num>
  <w:num w:numId="106">
    <w:abstractNumId w:val="47"/>
  </w:num>
  <w:num w:numId="107">
    <w:abstractNumId w:val="71"/>
  </w:num>
  <w:num w:numId="108">
    <w:abstractNumId w:val="40"/>
  </w:num>
  <w:num w:numId="109">
    <w:abstractNumId w:val="51"/>
  </w:num>
  <w:num w:numId="110">
    <w:abstractNumId w:val="4"/>
  </w:num>
  <w:num w:numId="111">
    <w:abstractNumId w:val="36"/>
  </w:num>
  <w:num w:numId="112">
    <w:abstractNumId w:val="7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21"/>
    <w:rsid w:val="00044D6C"/>
    <w:rsid w:val="000F43CA"/>
    <w:rsid w:val="001028A2"/>
    <w:rsid w:val="001141E5"/>
    <w:rsid w:val="00146965"/>
    <w:rsid w:val="001C5221"/>
    <w:rsid w:val="00225205"/>
    <w:rsid w:val="002433E4"/>
    <w:rsid w:val="00263C08"/>
    <w:rsid w:val="00335D5B"/>
    <w:rsid w:val="003509E1"/>
    <w:rsid w:val="00364FEF"/>
    <w:rsid w:val="003E2CBC"/>
    <w:rsid w:val="004443C1"/>
    <w:rsid w:val="00500BB5"/>
    <w:rsid w:val="0056448D"/>
    <w:rsid w:val="007518E5"/>
    <w:rsid w:val="0078441F"/>
    <w:rsid w:val="007A68F0"/>
    <w:rsid w:val="00814396"/>
    <w:rsid w:val="00822DBB"/>
    <w:rsid w:val="008A270F"/>
    <w:rsid w:val="009334B7"/>
    <w:rsid w:val="00946DFC"/>
    <w:rsid w:val="0098142E"/>
    <w:rsid w:val="009D0E42"/>
    <w:rsid w:val="00AD786B"/>
    <w:rsid w:val="00BE0C29"/>
    <w:rsid w:val="00DA47BF"/>
    <w:rsid w:val="00E02C66"/>
    <w:rsid w:val="00E04D38"/>
    <w:rsid w:val="00E67DF9"/>
    <w:rsid w:val="00EE729E"/>
    <w:rsid w:val="00EF41F1"/>
    <w:rsid w:val="00EF6AA8"/>
    <w:rsid w:val="00F2308F"/>
    <w:rsid w:val="00F9708A"/>
    <w:rsid w:val="00F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EC93"/>
  <w15:docId w15:val="{6E47BEC3-C22D-40FE-84AA-0EE6D299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styleId="Nagwek2">
    <w:name w:val="heading 2"/>
    <w:next w:val="Normalny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7">
    <w:name w:val="Zaimportowany styl 7"/>
    <w:pPr>
      <w:numPr>
        <w:numId w:val="16"/>
      </w:numPr>
    </w:pPr>
  </w:style>
  <w:style w:type="paragraph" w:styleId="Akapitzlist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3"/>
      </w:numPr>
    </w:pPr>
  </w:style>
  <w:style w:type="numbering" w:customStyle="1" w:styleId="Zaimportowanystyl10">
    <w:name w:val="Zaimportowany styl 10"/>
    <w:pPr>
      <w:numPr>
        <w:numId w:val="25"/>
      </w:numPr>
    </w:pPr>
  </w:style>
  <w:style w:type="numbering" w:customStyle="1" w:styleId="Zaimportowanystyl11">
    <w:name w:val="Zaimportowany styl 11"/>
    <w:pPr>
      <w:numPr>
        <w:numId w:val="28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8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2"/>
      </w:numPr>
    </w:pPr>
  </w:style>
  <w:style w:type="numbering" w:customStyle="1" w:styleId="Zaimportowanystyl17">
    <w:name w:val="Zaimportowany styl 17"/>
    <w:pPr>
      <w:numPr>
        <w:numId w:val="44"/>
      </w:numPr>
    </w:pPr>
  </w:style>
  <w:style w:type="numbering" w:customStyle="1" w:styleId="Zaimportowanystyl18">
    <w:name w:val="Zaimportowany styl 18"/>
    <w:pPr>
      <w:numPr>
        <w:numId w:val="46"/>
      </w:numPr>
    </w:pPr>
  </w:style>
  <w:style w:type="numbering" w:customStyle="1" w:styleId="Zaimportowanystyl19">
    <w:name w:val="Zaimportowany styl 19"/>
    <w:pPr>
      <w:numPr>
        <w:numId w:val="51"/>
      </w:numPr>
    </w:pPr>
  </w:style>
  <w:style w:type="numbering" w:customStyle="1" w:styleId="Zaimportowanystyl20">
    <w:name w:val="Zaimportowany styl 20"/>
    <w:pPr>
      <w:numPr>
        <w:numId w:val="55"/>
      </w:numPr>
    </w:pPr>
  </w:style>
  <w:style w:type="numbering" w:customStyle="1" w:styleId="Zaimportowanystyl21">
    <w:name w:val="Zaimportowany styl 21"/>
    <w:pPr>
      <w:numPr>
        <w:numId w:val="58"/>
      </w:numPr>
    </w:pPr>
  </w:style>
  <w:style w:type="numbering" w:customStyle="1" w:styleId="Zaimportowanystyl22">
    <w:name w:val="Zaimportowany styl 22"/>
    <w:pPr>
      <w:numPr>
        <w:numId w:val="61"/>
      </w:numPr>
    </w:p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23">
    <w:name w:val="Zaimportowany styl 23"/>
    <w:pPr>
      <w:numPr>
        <w:numId w:val="64"/>
      </w:numPr>
    </w:pPr>
  </w:style>
  <w:style w:type="numbering" w:customStyle="1" w:styleId="Zaimportowanystyl24">
    <w:name w:val="Zaimportowany styl 24"/>
    <w:pPr>
      <w:numPr>
        <w:numId w:val="67"/>
      </w:numPr>
    </w:pPr>
  </w:style>
  <w:style w:type="numbering" w:customStyle="1" w:styleId="Zaimportowanystyl25">
    <w:name w:val="Zaimportowany styl 25"/>
    <w:pPr>
      <w:numPr>
        <w:numId w:val="71"/>
      </w:numPr>
    </w:pPr>
  </w:style>
  <w:style w:type="numbering" w:customStyle="1" w:styleId="Zaimportowanystyl26">
    <w:name w:val="Zaimportowany styl 26"/>
    <w:pPr>
      <w:numPr>
        <w:numId w:val="74"/>
      </w:numPr>
    </w:pPr>
  </w:style>
  <w:style w:type="numbering" w:customStyle="1" w:styleId="Zaimportowanystyl27">
    <w:name w:val="Zaimportowany styl 27"/>
    <w:pPr>
      <w:numPr>
        <w:numId w:val="79"/>
      </w:numPr>
    </w:pPr>
  </w:style>
  <w:style w:type="numbering" w:customStyle="1" w:styleId="Zaimportowanystyl28">
    <w:name w:val="Zaimportowany styl 28"/>
    <w:pPr>
      <w:numPr>
        <w:numId w:val="81"/>
      </w:numPr>
    </w:pPr>
  </w:style>
  <w:style w:type="numbering" w:customStyle="1" w:styleId="Zaimportowanystyl29">
    <w:name w:val="Zaimportowany styl 29"/>
    <w:pPr>
      <w:numPr>
        <w:numId w:val="83"/>
      </w:numPr>
    </w:pPr>
  </w:style>
  <w:style w:type="numbering" w:customStyle="1" w:styleId="Zaimportowanystyl30">
    <w:name w:val="Zaimportowany styl 30"/>
    <w:pPr>
      <w:numPr>
        <w:numId w:val="86"/>
      </w:numPr>
    </w:pPr>
  </w:style>
  <w:style w:type="numbering" w:customStyle="1" w:styleId="Zaimportowanystyl31">
    <w:name w:val="Zaimportowany styl 31"/>
    <w:pPr>
      <w:numPr>
        <w:numId w:val="89"/>
      </w:numPr>
    </w:pPr>
  </w:style>
  <w:style w:type="numbering" w:customStyle="1" w:styleId="Zaimportowanystyl32">
    <w:name w:val="Zaimportowany styl 32"/>
    <w:pPr>
      <w:numPr>
        <w:numId w:val="91"/>
      </w:numPr>
    </w:pPr>
  </w:style>
  <w:style w:type="numbering" w:customStyle="1" w:styleId="Zaimportowanystyl33">
    <w:name w:val="Zaimportowany styl 33"/>
    <w:pPr>
      <w:numPr>
        <w:numId w:val="94"/>
      </w:numPr>
    </w:pPr>
  </w:style>
  <w:style w:type="numbering" w:customStyle="1" w:styleId="Zaimportowanystyl34">
    <w:name w:val="Zaimportowany styl 34"/>
    <w:pPr>
      <w:numPr>
        <w:numId w:val="96"/>
      </w:numPr>
    </w:pPr>
  </w:style>
  <w:style w:type="numbering" w:customStyle="1" w:styleId="Zaimportowanystyl35">
    <w:name w:val="Zaimportowany styl 35"/>
    <w:pPr>
      <w:numPr>
        <w:numId w:val="99"/>
      </w:numPr>
    </w:pPr>
  </w:style>
  <w:style w:type="numbering" w:customStyle="1" w:styleId="Zaimportowanystyl36">
    <w:name w:val="Zaimportowany styl 36"/>
    <w:pPr>
      <w:numPr>
        <w:numId w:val="102"/>
      </w:numPr>
    </w:pPr>
  </w:style>
  <w:style w:type="numbering" w:customStyle="1" w:styleId="Zaimportowanystyl37">
    <w:name w:val="Zaimportowany styl 37"/>
    <w:pPr>
      <w:numPr>
        <w:numId w:val="105"/>
      </w:numPr>
    </w:pPr>
  </w:style>
  <w:style w:type="character" w:customStyle="1" w:styleId="Hyperlink1">
    <w:name w:val="Hyperlink.1"/>
    <w:basedOn w:val="Brak"/>
  </w:style>
  <w:style w:type="numbering" w:customStyle="1" w:styleId="Zaimportowanystyl38">
    <w:name w:val="Zaimportowany styl 38"/>
    <w:pPr>
      <w:numPr>
        <w:numId w:val="107"/>
      </w:numPr>
    </w:pPr>
  </w:style>
  <w:style w:type="numbering" w:customStyle="1" w:styleId="Zaimportowanystyl39">
    <w:name w:val="Zaimportowany styl 39"/>
    <w:pPr>
      <w:numPr>
        <w:numId w:val="109"/>
      </w:numPr>
    </w:pPr>
  </w:style>
  <w:style w:type="character" w:styleId="Odwoaniedokomentarza">
    <w:name w:val="annotation reference"/>
    <w:basedOn w:val="Domylnaczcionkaakapitu"/>
    <w:uiPriority w:val="99"/>
    <w:unhideWhenUsed/>
    <w:qFormat/>
    <w:rsid w:val="001028A2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1028A2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1028A2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8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8A2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8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8A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arp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pw.parp.gov.pl/tworzenie-sieciowych-produktow-przez-msp/poddzialanie-1-3-2-tworzenie-sieciowych-produktow-przez-ms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8671</Words>
  <Characters>52027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 Katarzyna</dc:creator>
  <cp:lastModifiedBy>Józefowicz Katarzyna</cp:lastModifiedBy>
  <cp:revision>2</cp:revision>
  <dcterms:created xsi:type="dcterms:W3CDTF">2020-05-05T10:12:00Z</dcterms:created>
  <dcterms:modified xsi:type="dcterms:W3CDTF">2020-05-05T10:12:00Z</dcterms:modified>
</cp:coreProperties>
</file>